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7AAA" w14:textId="0F27EB20" w:rsidR="00210DCD" w:rsidRPr="00210DCD" w:rsidRDefault="00A868F3" w:rsidP="00210DC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8F3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решения Собрания депутатов </w:t>
      </w:r>
      <w:proofErr w:type="spellStart"/>
      <w:r w:rsidRPr="00A868F3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A868F3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A868F3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A868F3">
        <w:rPr>
          <w:rFonts w:ascii="Times New Roman" w:hAnsi="Times New Roman" w:cs="Times New Roman"/>
          <w:b/>
          <w:sz w:val="28"/>
          <w:szCs w:val="28"/>
        </w:rPr>
        <w:t xml:space="preserve">  муниципального округа Архангельской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868F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868F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8F3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14:paraId="2CB09FE7" w14:textId="77777777" w:rsidR="00B82EC2" w:rsidRPr="00B82EC2" w:rsidRDefault="00B82EC2" w:rsidP="00B82E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23D94" w14:textId="5FFD592C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обсуждения проекта муниципального правового акта с участием жителей </w:t>
      </w:r>
      <w:proofErr w:type="spell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руководствуясь статьями 28, 44 Федерального закона </w:t>
      </w:r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6 октября 2003 года № 131-ФЗ «Об общих принципах организации местного самоуправления в Российской Федерации», Положением об организации и проведении публичных слушаний на территории </w:t>
      </w:r>
      <w:proofErr w:type="spell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области от</w:t>
      </w:r>
      <w:proofErr w:type="gram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 ноября 2022 года № 12, 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стать</w:t>
      </w:r>
      <w:r w:rsidR="00165179">
        <w:rPr>
          <w:rFonts w:ascii="Times New Roman" w:eastAsia="Calibri" w:hAnsi="Times New Roman" w:cs="Times New Roman"/>
          <w:sz w:val="28"/>
          <w:szCs w:val="28"/>
          <w:lang w:eastAsia="ru-RU"/>
        </w:rPr>
        <w:t>ями 6, 20, 40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</w:t>
      </w:r>
      <w:r w:rsidR="00F716A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45A65"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C45A65"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 н о в л я ю:</w:t>
      </w:r>
    </w:p>
    <w:p w14:paraId="3E6AA377" w14:textId="06C73849" w:rsidR="00A868F3" w:rsidRPr="00C45A65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Назначить по инициативе главы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публичные слушания по проекту решения Собрания депутатов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на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5 и 2026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 </w:t>
      </w:r>
      <w:r w:rsidR="00765A0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CE47C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декабря 2023 года в 1</w:t>
      </w:r>
      <w:r w:rsidR="00CE47C2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 00 минут в зале заседаний администрации </w:t>
      </w:r>
      <w:proofErr w:type="spellStart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области, расположенном по</w:t>
      </w:r>
      <w:proofErr w:type="gramEnd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адресу: Архангельская область, город </w:t>
      </w:r>
      <w:proofErr w:type="spellStart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, улица 60 лет Октября, дом 13.</w:t>
      </w:r>
    </w:p>
    <w:p w14:paraId="4AB9B485" w14:textId="3503CA8F" w:rsidR="00094195" w:rsidRPr="00094195" w:rsidRDefault="00A868F3" w:rsidP="00094195">
      <w:pPr>
        <w:spacing w:line="240" w:lineRule="auto"/>
        <w:ind w:firstLine="708"/>
        <w:rPr>
          <w:rFonts w:ascii="Times New Roman" w:eastAsia="Calibri" w:hAnsi="Times New Roman" w:cs="Times New Roman"/>
        </w:rPr>
      </w:pP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094195" w:rsidRPr="00094195">
        <w:rPr>
          <w:rFonts w:ascii="Times New Roman" w:eastAsia="Calibri" w:hAnsi="Times New Roman" w:cs="Times New Roman"/>
          <w:sz w:val="28"/>
          <w:szCs w:val="28"/>
        </w:rPr>
        <w:t xml:space="preserve">Определить, что организатором публичных слушаний, </w:t>
      </w:r>
      <w:bookmarkStart w:id="0" w:name="_Hlk137659660"/>
      <w:r w:rsidR="00094195" w:rsidRPr="00094195">
        <w:rPr>
          <w:rFonts w:ascii="Times New Roman" w:eastAsia="Calibri" w:hAnsi="Times New Roman" w:cs="Times New Roman"/>
          <w:sz w:val="28"/>
          <w:szCs w:val="28"/>
        </w:rPr>
        <w:t>указанных в пункте 1 настоящего постановления</w:t>
      </w:r>
      <w:bookmarkEnd w:id="0"/>
      <w:r w:rsidR="00094195" w:rsidRPr="00094195">
        <w:rPr>
          <w:rFonts w:ascii="Times New Roman" w:eastAsia="Calibri" w:hAnsi="Times New Roman" w:cs="Times New Roman"/>
          <w:sz w:val="28"/>
          <w:szCs w:val="28"/>
        </w:rPr>
        <w:t xml:space="preserve">, является Управление финансов администрации </w:t>
      </w:r>
      <w:proofErr w:type="spellStart"/>
      <w:r w:rsidR="00094195" w:rsidRPr="00094195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094195" w:rsidRPr="0009419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2A312B25" w14:textId="67DE37FE" w:rsidR="00C45A65" w:rsidRPr="00C45A65" w:rsidRDefault="00094195" w:rsidP="00094195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3. Назначить председательствующим на публичных слушаниях, указанных в </w:t>
      </w:r>
      <w:hyperlink r:id="rId9" w:history="1">
        <w:r w:rsidRPr="00094195">
          <w:rPr>
            <w:rFonts w:ascii="Times New Roman" w:eastAsia="Calibri" w:hAnsi="Times New Roman" w:cs="Times New Roman"/>
            <w:sz w:val="28"/>
            <w:szCs w:val="28"/>
          </w:rPr>
          <w:t>пункте 1</w:t>
        </w:r>
      </w:hyperlink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начальника </w:t>
      </w:r>
      <w:r w:rsidRPr="000941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Управление финансов администрации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77499512" w14:textId="3B5C31EF" w:rsidR="007957E1" w:rsidRDefault="00094195" w:rsidP="007957E1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постановление, </w:t>
      </w:r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Собрания депутатов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«О бюджете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 и 2026 годов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участия и учета предложений граждан в обсуждении проект</w:t>
      </w:r>
      <w:r w:rsidR="00923D8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Собрания депутатов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E47C2" w:rsidRPr="00CE47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47C2"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бюджете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</w:t>
      </w:r>
      <w:proofErr w:type="gram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 и </w:t>
      </w:r>
      <w:r w:rsidR="00F716AE">
        <w:rPr>
          <w:rFonts w:ascii="Times New Roman" w:eastAsia="Calibri" w:hAnsi="Times New Roman" w:cs="Times New Roman"/>
          <w:sz w:val="28"/>
          <w:szCs w:val="28"/>
          <w:lang w:eastAsia="ru-RU"/>
        </w:rPr>
        <w:t>2026 годов»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в периодическом печатном издании «Вестник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 и разместить на официальном сайте администрации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</w:t>
      </w:r>
      <w:r w:rsidR="00CE47C2"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="00CE47C2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 «Публичные сл</w:t>
      </w:r>
      <w:r w:rsid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ушания» по адресу: </w:t>
      </w:r>
      <w:hyperlink r:id="rId10" w:history="1">
        <w:r w:rsidR="007957E1" w:rsidRPr="007D65B2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https://nyandoma.gosuslugi.ru/ofitsialno/publichnye-slushaniya/</w:t>
        </w:r>
      </w:hyperlink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2F71DE6" w14:textId="7B0BD2B4" w:rsidR="00A868F3" w:rsidRPr="00C45A65" w:rsidRDefault="00094195" w:rsidP="007957E1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Порядком участия и учета предложений граждан в обсуждении проекта решения Собрания депутатов «О бюджете </w:t>
      </w:r>
      <w:proofErr w:type="spell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и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годов», 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организатором публичных слушаний </w:t>
      </w:r>
      <w:proofErr w:type="spellStart"/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в рабочие дни с 8.30 часов до 17.00 часов, по адресу:</w:t>
      </w:r>
      <w:proofErr w:type="gram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Архангельская область, город </w:t>
      </w:r>
      <w:proofErr w:type="spell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60 лет Октября, дом 13, </w:t>
      </w:r>
      <w:proofErr w:type="spell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каб</w:t>
      </w:r>
      <w:proofErr w:type="spell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со дня опубликования проекта решения и не позднее </w:t>
      </w:r>
      <w:r w:rsidR="00CE47C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декабря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4D42DEBD" w14:textId="7B12F59E" w:rsidR="00A868F3" w:rsidRPr="00765A03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Организатору публичных слушаний обеспечить рассмотрение предложений, обобщить их и учесть при доработке проекта решения.</w:t>
      </w:r>
    </w:p>
    <w:p w14:paraId="78B22D57" w14:textId="6BF390B8" w:rsidR="00C45A65" w:rsidRPr="00765A03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Результаты публичных слушаний, включая мотивированные обоснования принятых решений, направить в Собрание депутатов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опубликовать в периодическом печатном издании «Вестник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района», а также разместить на официальном сайте администрации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E47C2" w:rsidRPr="00CE47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47C2"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39537AB" w14:textId="13ED4303" w:rsidR="00094195" w:rsidRDefault="00C61FED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94195"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Одновременно с настоящим постановлением опубликовать:</w:t>
      </w:r>
    </w:p>
    <w:p w14:paraId="3DC0A91D" w14:textId="14FB00E9" w:rsidR="00094195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</w:t>
      </w:r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роект решения Собрания депутатов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«О бюджете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 и 2026 годов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7DA6726" w14:textId="7D13EFC3" w:rsidR="00094195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Порядок участия и учета предложений граждан в обсуждении проекта решения Собрания депутатов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</w:t>
      </w:r>
      <w:r w:rsidR="00CE47C2"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="00CE47C2"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 и 2026 годов»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DF8F511" w14:textId="2D6B51B9" w:rsidR="00A868F3" w:rsidRPr="00765A03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 w14:paraId="32DE704F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3CB1D5" w14:textId="77777777" w:rsidR="00765A03" w:rsidRPr="00765A03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1BC156B9" w14:textId="7F20555F" w:rsidR="00A868F3" w:rsidRPr="00765A03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округа</w:t>
      </w: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А.В. Кононов</w:t>
      </w:r>
    </w:p>
    <w:p w14:paraId="4C742328" w14:textId="77777777" w:rsidR="00A868F3" w:rsidRPr="00765A03" w:rsidRDefault="00A868F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</w:t>
      </w:r>
    </w:p>
    <w:p w14:paraId="57E95B0F" w14:textId="7C2A748F" w:rsidR="00A868F3" w:rsidRDefault="00FE42C6" w:rsidP="00FE42C6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участия и учета предложений граждан в обсуждении проекта решения Собрания депутатов «О бюджете </w:t>
      </w:r>
      <w:proofErr w:type="spellStart"/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муниципального округа Архангельской области на 2024 год и </w:t>
      </w:r>
      <w:r w:rsidR="00B0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плановый период 2025 и 2026 годов»</w:t>
      </w:r>
    </w:p>
    <w:p w14:paraId="163F7ACB" w14:textId="77777777" w:rsidR="00FE42C6" w:rsidRPr="00765A03" w:rsidRDefault="00FE42C6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5724EB" w14:textId="1CD061A2" w:rsidR="00A868F3" w:rsidRPr="00765A03" w:rsidRDefault="00A868F3" w:rsidP="00B0622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Устава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(далее – муниципального образования) и регулирует порядок участия и учета предложений граждан в обсуждении </w:t>
      </w:r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проекта решения Собрания депутатов «О бюджете </w:t>
      </w:r>
      <w:proofErr w:type="spellStart"/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</w:t>
      </w:r>
      <w:proofErr w:type="gramEnd"/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2026 годов»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проект решения).</w:t>
      </w:r>
    </w:p>
    <w:p w14:paraId="6030165F" w14:textId="071974C9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подлежит официальному опубликованию (обнародованию) в средствах массовой информации, учредителями которых являются органы местного самоуправления муниципального образования, и размещается на официальном сайте муниципального образования не позднее, чем за 7 дней до даты проведения публичных слушаний по проекту решения Собрания депутатов «О бюджете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2024 год и на плановый период 2025 и 2026 годов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proofErr w:type="gramEnd"/>
    </w:p>
    <w:p w14:paraId="2FD733E6" w14:textId="28B062E0" w:rsidR="00A868F3" w:rsidRPr="00765A03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3. 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к опубликованному проекту решения (далее – предложения) вносятся гражданами, имеющими место жительства в населенных пунктах, находящихся на территории муниципального образования, обладающими активным избирательным правом в порядке индивидуальных или коллективных обращений.</w:t>
      </w:r>
    </w:p>
    <w:p w14:paraId="6DEEBBEB" w14:textId="25AE178B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должны соответствовать федеральному законодательству, законодательству Архангельской области и быть оформлены в письменном виде по форме согласно Приложению к настоящему Порядку.</w:t>
      </w:r>
    </w:p>
    <w:p w14:paraId="7AAC1D81" w14:textId="62CAC949" w:rsidR="00A868F3" w:rsidRPr="00765A03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К предложениям должны быть приложены аргументированные обоснования вносимых предложений, а также, при коллективном обсуждении проекта решения – протокол собрания.</w:t>
      </w:r>
    </w:p>
    <w:p w14:paraId="37F4D6E0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и регистрируются специалистами администрации муниципального образования в рабочие дни с 8.30 часов до 17.00 часов по адресу: Архангельская область, город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, улица 60 лет Октября, дом 13, приемная администрации, либо по иному адресу, указанному в муниципальном правовом акте о назначении публичных слушаний.</w:t>
      </w:r>
    </w:p>
    <w:p w14:paraId="46E41056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6. Предложения принимаются со дня опубликования проекта решения и не позднее 3 дней до даты проведения публичных слушаний по проекту решения.</w:t>
      </w:r>
    </w:p>
    <w:p w14:paraId="36539F97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Поступившие предложения передаются на рассмотрение организационной комиссии по проведению публичных слушаний (далее –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организационная комиссия), организатору слушаний.</w:t>
      </w:r>
    </w:p>
    <w:p w14:paraId="411E305C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8. Предложения изучаются членами организационной комиссии (организатором слушаний) и экспертами, привлекаемыми организационной комиссией (организатором слушаний) для работы с проектом решения и предложениями. По итогам рассмотрения каждого из поступивших предложений организационная комиссия (организатор слушаний) принимает решение рекомендовать принять его, либо отклонить.</w:t>
      </w:r>
    </w:p>
    <w:p w14:paraId="3E31FE5B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9. 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1EF7C719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10. 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 От коллективов (собраний) в публичных слушаниях участвуют их представители.</w:t>
      </w:r>
    </w:p>
    <w:p w14:paraId="229DBBFD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Публичные слушания проводятся в порядке, установленном Положением об организации и проведении публичных слушаний на территории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округа.</w:t>
      </w:r>
    </w:p>
    <w:p w14:paraId="18418B57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12. Граждане, представители коллективов 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258B4573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13. Результаты рассмотрения предложений граждан по проекту решения по их просьбе сообщаются им в устной или письменной форме: при рассмотрении организационной комиссией (организатором слушаний) и обсуждении на публичных слушаниях – организационной комиссией (организатором слушаний), при рассмотрении Собранием депутатов – председателем Собрания депутатов.</w:t>
      </w:r>
    </w:p>
    <w:p w14:paraId="6AF41322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8EEEB2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67F981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DBB7B6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237FAF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8A7FCD" w14:textId="77777777" w:rsidR="00191EB4" w:rsidRPr="00765A03" w:rsidRDefault="00191EB4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A5BD20C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1F95DA79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52EB0BB4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1E2CD7A0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3958E9CB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230DF454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6962FD59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159E4070" w14:textId="77777777" w:rsid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03C68904" w14:textId="77777777" w:rsidR="00B06223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728303B1" w14:textId="77777777" w:rsidR="00B06223" w:rsidRPr="00A868F3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731ABAE3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3D676512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left="4536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429D374F" w14:textId="273181B5" w:rsidR="00A868F3" w:rsidRPr="00A868F3" w:rsidRDefault="00FE42C6" w:rsidP="00A868F3">
      <w:pPr>
        <w:widowControl w:val="0"/>
        <w:spacing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участия и учета предложений граждан в обсуждении проекта решения Собрания депутатов «О бюджете </w:t>
      </w:r>
      <w:proofErr w:type="spellStart"/>
      <w:r w:rsidRPr="00FE42C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FE4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округа Архангельской области на 2024 год и на плановый период 2025 и 2026 годов»</w:t>
      </w:r>
    </w:p>
    <w:p w14:paraId="245FAE63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left="4536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1D9E5" w14:textId="77777777" w:rsidR="00A868F3" w:rsidRPr="00A868F3" w:rsidRDefault="00A868F3" w:rsidP="00A868F3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1300D613" w14:textId="77777777" w:rsidR="00A868F3" w:rsidRPr="00A868F3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14D01" w14:textId="77777777" w:rsidR="00A868F3" w:rsidRPr="00A868F3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3D862" w14:textId="77777777" w:rsidR="00A868F3" w:rsidRPr="00A868F3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368"/>
      <w:bookmarkEnd w:id="1"/>
      <w:r w:rsidRPr="00A86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 </w:t>
      </w:r>
    </w:p>
    <w:p w14:paraId="2CE10A35" w14:textId="77777777" w:rsidR="00A868F3" w:rsidRPr="00A868F3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изменению и (или) дополнению проекта </w:t>
      </w:r>
    </w:p>
    <w:p w14:paraId="50516E97" w14:textId="77777777" w:rsidR="00A868F3" w:rsidRPr="00A868F3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правового акта</w:t>
      </w:r>
    </w:p>
    <w:p w14:paraId="5F0C80CD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63287" w14:textId="77777777" w:rsidR="00A868F3" w:rsidRPr="00A868F3" w:rsidRDefault="00A868F3" w:rsidP="00A868F3">
      <w:pPr>
        <w:widowControl w:val="0"/>
        <w:tabs>
          <w:tab w:val="right" w:pos="9637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Обсуждаемый проект правового акта: </w:t>
      </w:r>
      <w:r w:rsidRPr="00A868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1BD6120" w14:textId="77777777" w:rsidR="00A868F3" w:rsidRPr="00A868F3" w:rsidRDefault="00A868F3" w:rsidP="00A868F3">
      <w:pPr>
        <w:widowControl w:val="0"/>
        <w:pBdr>
          <w:bottom w:val="single" w:sz="4" w:space="1" w:color="auto"/>
        </w:pBd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3DAAB" w14:textId="77777777" w:rsidR="00A868F3" w:rsidRPr="00A868F3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8CE5A" w14:textId="77777777" w:rsidR="00A868F3" w:rsidRPr="00A868F3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Сравнительная таблица изменений (дополнений):</w:t>
      </w:r>
    </w:p>
    <w:p w14:paraId="178132AE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61"/>
        <w:gridCol w:w="2379"/>
        <w:gridCol w:w="2561"/>
        <w:gridCol w:w="1908"/>
      </w:tblGrid>
      <w:tr w:rsidR="00FE42C6" w:rsidRPr="00FE42C6" w14:paraId="5FE13F7E" w14:textId="77777777" w:rsidTr="00E970E9">
        <w:tc>
          <w:tcPr>
            <w:tcW w:w="503" w:type="dxa"/>
            <w:shd w:val="clear" w:color="auto" w:fill="auto"/>
            <w:vAlign w:val="center"/>
          </w:tcPr>
          <w:p w14:paraId="52820AE9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1E97458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4213CCB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261602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Формулировка в проекте документа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2271189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Предлагаемые изменения, дополнения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FD88132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FE42C6" w:rsidRPr="00FE42C6" w14:paraId="71265DDF" w14:textId="77777777" w:rsidTr="00E970E9">
        <w:tc>
          <w:tcPr>
            <w:tcW w:w="503" w:type="dxa"/>
            <w:shd w:val="clear" w:color="auto" w:fill="auto"/>
          </w:tcPr>
          <w:p w14:paraId="5F4DA701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410CB039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ED152E6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5F661360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A023133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2C6" w:rsidRPr="00FE42C6" w14:paraId="2D4901F2" w14:textId="77777777" w:rsidTr="00E970E9">
        <w:tc>
          <w:tcPr>
            <w:tcW w:w="503" w:type="dxa"/>
            <w:shd w:val="clear" w:color="auto" w:fill="auto"/>
          </w:tcPr>
          <w:p w14:paraId="67EC26E0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699C4ABF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BEC6664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2720DE79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3303A11F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2C6" w:rsidRPr="00FE42C6" w14:paraId="732A26C3" w14:textId="77777777" w:rsidTr="00E970E9">
        <w:tc>
          <w:tcPr>
            <w:tcW w:w="503" w:type="dxa"/>
            <w:shd w:val="clear" w:color="auto" w:fill="auto"/>
          </w:tcPr>
          <w:p w14:paraId="64DC7907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791BF2C2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03CE7ED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7B9A34DA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5EA9384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1DF1B0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DC7AE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Автор поправок (контактное лицо коллектива авторов):</w:t>
      </w:r>
    </w:p>
    <w:p w14:paraId="57721069" w14:textId="77777777" w:rsidR="00A868F3" w:rsidRPr="00A868F3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C80CF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отчество, год рождения)</w:t>
      </w:r>
    </w:p>
    <w:p w14:paraId="051657ED" w14:textId="77777777" w:rsidR="00A868F3" w:rsidRPr="00A868F3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7C097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(почтовый адрес, телефон)</w:t>
      </w:r>
    </w:p>
    <w:p w14:paraId="06E4421E" w14:textId="77777777" w:rsidR="00A868F3" w:rsidRPr="00A868F3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92387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4FFCF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 20__ г.</w:t>
      </w: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</w:t>
      </w:r>
    </w:p>
    <w:p w14:paraId="45B67527" w14:textId="77777777" w:rsidR="00A868F3" w:rsidRPr="00A868F3" w:rsidRDefault="00A868F3" w:rsidP="00A868F3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808B20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868F3" w:rsidRPr="00A868F3" w:rsidSect="00A868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13973" w14:textId="77777777" w:rsidR="00B61846" w:rsidRDefault="00B61846" w:rsidP="00D729AA">
      <w:pPr>
        <w:spacing w:line="240" w:lineRule="auto"/>
      </w:pPr>
      <w:r>
        <w:separator/>
      </w:r>
    </w:p>
  </w:endnote>
  <w:endnote w:type="continuationSeparator" w:id="0">
    <w:p w14:paraId="256ABBB7" w14:textId="77777777" w:rsidR="00B61846" w:rsidRDefault="00B6184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3F275" w14:textId="77777777" w:rsidR="00CA148F" w:rsidRDefault="00CA148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E88F3" w14:textId="77777777" w:rsidR="00CA148F" w:rsidRDefault="00CA148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A99C2" w14:textId="77777777" w:rsidR="00CA148F" w:rsidRDefault="00CA1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50BEB" w14:textId="77777777" w:rsidR="00B61846" w:rsidRDefault="00B61846" w:rsidP="00D729AA">
      <w:pPr>
        <w:spacing w:line="240" w:lineRule="auto"/>
      </w:pPr>
      <w:r>
        <w:separator/>
      </w:r>
    </w:p>
  </w:footnote>
  <w:footnote w:type="continuationSeparator" w:id="0">
    <w:p w14:paraId="32CDE6ED" w14:textId="77777777" w:rsidR="00B61846" w:rsidRDefault="00B6184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D6FE9" w14:textId="77777777" w:rsidR="00CA148F" w:rsidRDefault="00CA148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7431"/>
      <w:docPartObj>
        <w:docPartGallery w:val="Page Numbers (Top of Page)"/>
        <w:docPartUnique/>
      </w:docPartObj>
    </w:sdtPr>
    <w:sdtEndPr/>
    <w:sdtContent>
      <w:p w14:paraId="1091283F" w14:textId="77777777" w:rsidR="006F7AFC" w:rsidRDefault="00141FAC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6F7AFC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3E3234">
          <w:rPr>
            <w:rFonts w:ascii="Times New Roman" w:hAnsi="Times New Roman" w:cs="Times New Roman"/>
            <w:noProof/>
          </w:rPr>
          <w:t>2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14:paraId="2BC1AAA4" w14:textId="77777777" w:rsidR="006F7AFC" w:rsidRDefault="006F7AF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6F7AFC" w14:paraId="1F781824" w14:textId="77777777" w:rsidTr="006F7AFC">
      <w:tc>
        <w:tcPr>
          <w:tcW w:w="9570" w:type="dxa"/>
        </w:tcPr>
        <w:p w14:paraId="2F350769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032151E" wp14:editId="7C6115C2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06A0CC1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34065727" w14:textId="77777777" w:rsidTr="006F7AFC">
      <w:tc>
        <w:tcPr>
          <w:tcW w:w="9570" w:type="dxa"/>
        </w:tcPr>
        <w:p w14:paraId="5D42D041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73C29C6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210DCD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A1B7AC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B42FD9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F7AFC" w14:paraId="263FC57F" w14:textId="77777777" w:rsidTr="006F7AFC">
      <w:tc>
        <w:tcPr>
          <w:tcW w:w="9570" w:type="dxa"/>
        </w:tcPr>
        <w:p w14:paraId="724A44D6" w14:textId="77777777" w:rsidR="006F7AFC" w:rsidRPr="0037724A" w:rsidRDefault="006F7AFC" w:rsidP="006F7AF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6F7AFC" w14:paraId="46F50669" w14:textId="77777777" w:rsidTr="006F7AFC">
      <w:tc>
        <w:tcPr>
          <w:tcW w:w="9570" w:type="dxa"/>
        </w:tcPr>
        <w:p w14:paraId="7788676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45D08B42" w14:textId="77777777" w:rsidTr="006F7AFC">
      <w:tc>
        <w:tcPr>
          <w:tcW w:w="9570" w:type="dxa"/>
        </w:tcPr>
        <w:p w14:paraId="4103B200" w14:textId="65F925B9" w:rsidR="006F7AFC" w:rsidRPr="00C7038B" w:rsidRDefault="004A7B01" w:rsidP="00CA148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CA148F">
            <w:rPr>
              <w:rFonts w:ascii="Times New Roman" w:hAnsi="Times New Roman" w:cs="Times New Roman"/>
              <w:sz w:val="28"/>
              <w:szCs w:val="28"/>
            </w:rPr>
            <w:t xml:space="preserve">23 ноября </w:t>
          </w:r>
          <w:r w:rsidR="00432426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210DCD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347404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="00347404">
            <w:rPr>
              <w:rFonts w:ascii="Times New Roman" w:hAnsi="Times New Roman" w:cs="Times New Roman"/>
              <w:sz w:val="28"/>
              <w:szCs w:val="28"/>
            </w:rPr>
            <w:t xml:space="preserve">№ </w:t>
          </w:r>
          <w:r w:rsidR="00CA148F">
            <w:rPr>
              <w:rFonts w:ascii="Times New Roman" w:hAnsi="Times New Roman" w:cs="Times New Roman"/>
              <w:sz w:val="28"/>
              <w:szCs w:val="28"/>
            </w:rPr>
            <w:t>492</w:t>
          </w:r>
          <w:bookmarkStart w:id="2" w:name="_GoBack"/>
          <w:bookmarkEnd w:id="2"/>
          <w:r w:rsidR="00A868F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  <w:r w:rsidR="006F7AF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6F7AFC" w14:paraId="4D85BEDC" w14:textId="77777777" w:rsidTr="006F7AFC">
      <w:tc>
        <w:tcPr>
          <w:tcW w:w="9570" w:type="dxa"/>
        </w:tcPr>
        <w:p w14:paraId="6C7B33F9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232EBBC2" w14:textId="77777777" w:rsidTr="006F7AFC">
      <w:tc>
        <w:tcPr>
          <w:tcW w:w="9570" w:type="dxa"/>
        </w:tcPr>
        <w:p w14:paraId="1EF7CAE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6F7AFC" w14:paraId="5407E788" w14:textId="77777777" w:rsidTr="006F7AFC">
      <w:tc>
        <w:tcPr>
          <w:tcW w:w="9570" w:type="dxa"/>
        </w:tcPr>
        <w:p w14:paraId="52E5C6C9" w14:textId="77777777" w:rsidR="006F7AFC" w:rsidRPr="00C7038B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1016F4A1" w14:textId="77777777" w:rsidTr="006F7AFC">
      <w:tc>
        <w:tcPr>
          <w:tcW w:w="9570" w:type="dxa"/>
        </w:tcPr>
        <w:p w14:paraId="4E4A366E" w14:textId="77777777" w:rsidR="006F7AFC" w:rsidRPr="00D729A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BB36FB8" w14:textId="77777777" w:rsidR="006F7AFC" w:rsidRPr="00D729AA" w:rsidRDefault="006F7AFC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544AD9"/>
    <w:multiLevelType w:val="multilevel"/>
    <w:tmpl w:val="BC3E3880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76B25B85"/>
    <w:multiLevelType w:val="multilevel"/>
    <w:tmpl w:val="7CD213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113C6"/>
    <w:rsid w:val="00027BD0"/>
    <w:rsid w:val="00035B69"/>
    <w:rsid w:val="00045B13"/>
    <w:rsid w:val="00066CC8"/>
    <w:rsid w:val="00070C7D"/>
    <w:rsid w:val="00080A5A"/>
    <w:rsid w:val="00081598"/>
    <w:rsid w:val="00094195"/>
    <w:rsid w:val="00097337"/>
    <w:rsid w:val="000A5F77"/>
    <w:rsid w:val="000E0507"/>
    <w:rsid w:val="000E5F4B"/>
    <w:rsid w:val="000F0D60"/>
    <w:rsid w:val="00112896"/>
    <w:rsid w:val="00113509"/>
    <w:rsid w:val="00124092"/>
    <w:rsid w:val="00141FAC"/>
    <w:rsid w:val="00165179"/>
    <w:rsid w:val="00191EB4"/>
    <w:rsid w:val="00197210"/>
    <w:rsid w:val="001D56FE"/>
    <w:rsid w:val="001E69C1"/>
    <w:rsid w:val="001E7CEC"/>
    <w:rsid w:val="00210DCD"/>
    <w:rsid w:val="002220DB"/>
    <w:rsid w:val="00226420"/>
    <w:rsid w:val="00281C02"/>
    <w:rsid w:val="00297D07"/>
    <w:rsid w:val="002C04D4"/>
    <w:rsid w:val="002C4F0B"/>
    <w:rsid w:val="002E3A18"/>
    <w:rsid w:val="002F09D7"/>
    <w:rsid w:val="00334A54"/>
    <w:rsid w:val="00345645"/>
    <w:rsid w:val="00347404"/>
    <w:rsid w:val="0037724A"/>
    <w:rsid w:val="00381162"/>
    <w:rsid w:val="003D796F"/>
    <w:rsid w:val="003E0C2E"/>
    <w:rsid w:val="003E3234"/>
    <w:rsid w:val="004033C9"/>
    <w:rsid w:val="0043035E"/>
    <w:rsid w:val="00432426"/>
    <w:rsid w:val="00457A34"/>
    <w:rsid w:val="00487BBB"/>
    <w:rsid w:val="004A7B01"/>
    <w:rsid w:val="004B06A6"/>
    <w:rsid w:val="004B44D6"/>
    <w:rsid w:val="004E1A3F"/>
    <w:rsid w:val="004F11FF"/>
    <w:rsid w:val="004F4953"/>
    <w:rsid w:val="00507EE3"/>
    <w:rsid w:val="00533983"/>
    <w:rsid w:val="00546E17"/>
    <w:rsid w:val="0056739B"/>
    <w:rsid w:val="005750EE"/>
    <w:rsid w:val="005915A0"/>
    <w:rsid w:val="005B0BF1"/>
    <w:rsid w:val="005D243B"/>
    <w:rsid w:val="005E10C9"/>
    <w:rsid w:val="005E5802"/>
    <w:rsid w:val="0060529A"/>
    <w:rsid w:val="00626DB6"/>
    <w:rsid w:val="00631EF0"/>
    <w:rsid w:val="0064414E"/>
    <w:rsid w:val="006466D5"/>
    <w:rsid w:val="00650122"/>
    <w:rsid w:val="00654741"/>
    <w:rsid w:val="00662C9E"/>
    <w:rsid w:val="00671641"/>
    <w:rsid w:val="00672725"/>
    <w:rsid w:val="00680A52"/>
    <w:rsid w:val="00687C29"/>
    <w:rsid w:val="006A70AA"/>
    <w:rsid w:val="006E0AE6"/>
    <w:rsid w:val="006F58F5"/>
    <w:rsid w:val="006F7AFC"/>
    <w:rsid w:val="0073582A"/>
    <w:rsid w:val="00765A03"/>
    <w:rsid w:val="007755E0"/>
    <w:rsid w:val="007957E1"/>
    <w:rsid w:val="007A6AFA"/>
    <w:rsid w:val="007B4EDB"/>
    <w:rsid w:val="007B4F27"/>
    <w:rsid w:val="007D3B1C"/>
    <w:rsid w:val="007D5135"/>
    <w:rsid w:val="007D6DCE"/>
    <w:rsid w:val="008369BE"/>
    <w:rsid w:val="008644C1"/>
    <w:rsid w:val="008657FB"/>
    <w:rsid w:val="00865D42"/>
    <w:rsid w:val="00872537"/>
    <w:rsid w:val="008C0B1E"/>
    <w:rsid w:val="00913FD4"/>
    <w:rsid w:val="00923D80"/>
    <w:rsid w:val="0092596F"/>
    <w:rsid w:val="00965615"/>
    <w:rsid w:val="00983492"/>
    <w:rsid w:val="0099694A"/>
    <w:rsid w:val="009D5CE0"/>
    <w:rsid w:val="009F423F"/>
    <w:rsid w:val="00A13064"/>
    <w:rsid w:val="00A134E0"/>
    <w:rsid w:val="00A260BD"/>
    <w:rsid w:val="00A27287"/>
    <w:rsid w:val="00A6235C"/>
    <w:rsid w:val="00A750D7"/>
    <w:rsid w:val="00A77F6F"/>
    <w:rsid w:val="00A868F3"/>
    <w:rsid w:val="00AC3BB6"/>
    <w:rsid w:val="00AE33FF"/>
    <w:rsid w:val="00AF1905"/>
    <w:rsid w:val="00B00D03"/>
    <w:rsid w:val="00B06223"/>
    <w:rsid w:val="00B343B1"/>
    <w:rsid w:val="00B508BF"/>
    <w:rsid w:val="00B5798D"/>
    <w:rsid w:val="00B61846"/>
    <w:rsid w:val="00B82EC2"/>
    <w:rsid w:val="00BB1C3D"/>
    <w:rsid w:val="00BB45CE"/>
    <w:rsid w:val="00BD2A91"/>
    <w:rsid w:val="00BD6817"/>
    <w:rsid w:val="00BE77E9"/>
    <w:rsid w:val="00BF38A8"/>
    <w:rsid w:val="00BF5C38"/>
    <w:rsid w:val="00C35491"/>
    <w:rsid w:val="00C45A65"/>
    <w:rsid w:val="00C61FED"/>
    <w:rsid w:val="00C7038B"/>
    <w:rsid w:val="00C81BE7"/>
    <w:rsid w:val="00C8511C"/>
    <w:rsid w:val="00C87200"/>
    <w:rsid w:val="00C92542"/>
    <w:rsid w:val="00CA148F"/>
    <w:rsid w:val="00CD3FA3"/>
    <w:rsid w:val="00CE47C2"/>
    <w:rsid w:val="00D14578"/>
    <w:rsid w:val="00D146CA"/>
    <w:rsid w:val="00D26A13"/>
    <w:rsid w:val="00D65195"/>
    <w:rsid w:val="00D729AA"/>
    <w:rsid w:val="00D75E4B"/>
    <w:rsid w:val="00D8778B"/>
    <w:rsid w:val="00DA3DB7"/>
    <w:rsid w:val="00DA7D61"/>
    <w:rsid w:val="00DA7F20"/>
    <w:rsid w:val="00DF392A"/>
    <w:rsid w:val="00E0575C"/>
    <w:rsid w:val="00E17DA5"/>
    <w:rsid w:val="00E35824"/>
    <w:rsid w:val="00EA7397"/>
    <w:rsid w:val="00EB7090"/>
    <w:rsid w:val="00EC1E19"/>
    <w:rsid w:val="00ED1FD0"/>
    <w:rsid w:val="00EF2169"/>
    <w:rsid w:val="00EF2F89"/>
    <w:rsid w:val="00F071EB"/>
    <w:rsid w:val="00F10CE9"/>
    <w:rsid w:val="00F55C51"/>
    <w:rsid w:val="00F716AE"/>
    <w:rsid w:val="00F82F88"/>
    <w:rsid w:val="00FA2D32"/>
    <w:rsid w:val="00FA4DAD"/>
    <w:rsid w:val="00FA4E85"/>
    <w:rsid w:val="00FB655E"/>
    <w:rsid w:val="00FC2CC6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D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nyandoma.gosuslugi.ru/ofitsialno/publichnye-slushani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13;n=38885;fld=134;dst=100006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4E874F-2E0B-4892-AACC-BC6044DA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14</cp:revision>
  <cp:lastPrinted>2023-11-17T12:05:00Z</cp:lastPrinted>
  <dcterms:created xsi:type="dcterms:W3CDTF">2023-05-10T09:44:00Z</dcterms:created>
  <dcterms:modified xsi:type="dcterms:W3CDTF">2023-11-23T06:14:00Z</dcterms:modified>
</cp:coreProperties>
</file>