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7AAA" w14:textId="5FB5DCEE" w:rsidR="00210DCD" w:rsidRPr="007E6DFF" w:rsidRDefault="00A868F3" w:rsidP="00210D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</w:t>
      </w:r>
      <w:proofErr w:type="spellStart"/>
      <w:r w:rsidRPr="007E6DFF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7E6DF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«</w:t>
      </w:r>
      <w:r w:rsidR="00B05858" w:rsidRPr="007E6DFF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B05858" w:rsidRPr="007E6DF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за 2023 год</w:t>
      </w:r>
      <w:r w:rsidRPr="007E6DFF">
        <w:rPr>
          <w:rFonts w:ascii="Times New Roman" w:hAnsi="Times New Roman" w:cs="Times New Roman"/>
          <w:b/>
          <w:sz w:val="28"/>
          <w:szCs w:val="28"/>
        </w:rPr>
        <w:t>»</w:t>
      </w:r>
    </w:p>
    <w:p w14:paraId="2CB09FE7" w14:textId="77777777" w:rsidR="00B82EC2" w:rsidRPr="007E6DFF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23D94" w14:textId="5FFD592C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обсуждения проекта муниципального правового акта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участием жителей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руководствуясь статьями 28, 44 Федерального закона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6 октября 2003 года № 131-ФЗ «Об общих принципах организации местного самоуправления в Российской Федерации», Положением об организации и проведении публичных слушаний на территории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от 15 ноября 2022 года № 12,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стать</w:t>
      </w:r>
      <w:r w:rsidR="00165179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ями 6, 20</w:t>
      </w:r>
      <w:proofErr w:type="gramEnd"/>
      <w:r w:rsidR="00165179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40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 н о в л я ю:</w:t>
      </w:r>
    </w:p>
    <w:p w14:paraId="3E6AA377" w14:textId="5BCE580E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Назначить по инициативе главы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публичные слушания по проекту решения Собрания депутатов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22 мая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в 1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00 минут в зале заседаний администрации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области, расположенном по адресу: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улица 60 лет Октября, дом 13.</w:t>
      </w:r>
    </w:p>
    <w:p w14:paraId="4AB9B485" w14:textId="3503CA8F" w:rsidR="00094195" w:rsidRPr="007E6DFF" w:rsidRDefault="00A868F3" w:rsidP="00094195">
      <w:pPr>
        <w:spacing w:line="240" w:lineRule="auto"/>
        <w:ind w:firstLine="708"/>
        <w:rPr>
          <w:rFonts w:ascii="Times New Roman" w:eastAsia="Calibri" w:hAnsi="Times New Roman" w:cs="Times New Roman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Определить, что организатором публичных слушаний, </w:t>
      </w:r>
      <w:bookmarkStart w:id="0" w:name="_Hlk137659660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указанных в пункте 1 настоящего постановления</w:t>
      </w:r>
      <w:bookmarkEnd w:id="0"/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, является Управление финансов администрации </w:t>
      </w:r>
      <w:proofErr w:type="spellStart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2A312B25" w14:textId="67DE37FE" w:rsidR="00C45A65" w:rsidRPr="007E6DFF" w:rsidRDefault="00094195" w:rsidP="00094195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3. Назначить председательствующим на публичных слушаниях, указанных в </w:t>
      </w:r>
      <w:hyperlink r:id="rId9" w:history="1">
        <w:r w:rsidRPr="007E6DFF">
          <w:rPr>
            <w:rFonts w:ascii="Times New Roman" w:eastAsia="Calibri" w:hAnsi="Times New Roman" w:cs="Times New Roman"/>
            <w:sz w:val="28"/>
            <w:szCs w:val="28"/>
          </w:rPr>
          <w:t>пункте 1</w:t>
        </w:r>
      </w:hyperlink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постановления,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начальника </w:t>
      </w:r>
      <w:r w:rsidRPr="007E6DF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Управление финансов администрации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77499512" w14:textId="6822B346" w:rsidR="007957E1" w:rsidRPr="007E6DFF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постановление,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год»,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участия и учета предложений граждан в обсуждении проект</w:t>
      </w:r>
      <w:r w:rsidR="00923D80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Собрания депутатов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периодическом печатном</w:t>
      </w:r>
      <w:proofErr w:type="gram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издании «Вестник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 и разместить на официальном сайте администрации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разделе «Публичные слушания» по адресу: </w:t>
      </w:r>
      <w:hyperlink r:id="rId10" w:history="1">
        <w:r w:rsidR="007957E1" w:rsidRPr="007E6DFF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https://nyandoma.gosuslugi.ru/ofitsialno/publichnye-slushaniya/</w:t>
        </w:r>
      </w:hyperlink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в личном кабинете в Ф</w:t>
      </w:r>
      <w:r w:rsidR="002D0C15" w:rsidRPr="007E6DFF">
        <w:rPr>
          <w:rFonts w:ascii="Times New Roman" w:hAnsi="Times New Roman" w:cs="Times New Roman"/>
          <w:sz w:val="27"/>
          <w:szCs w:val="27"/>
        </w:rPr>
        <w:t>едеральной государственной информационной системе «Единый портал государственных и муниципальных услуг (функций)» по адресу:</w:t>
      </w:r>
      <w:r w:rsidR="002D0C15" w:rsidRPr="007E6DFF">
        <w:t xml:space="preserve"> </w:t>
      </w:r>
      <w:hyperlink r:id="rId11" w:history="1">
        <w:r w:rsidR="002D0C15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D0C15" w:rsidRPr="007E6DFF">
        <w:rPr>
          <w:rStyle w:val="ac"/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далее-Единый портал.</w:t>
      </w:r>
      <w:proofErr w:type="gramEnd"/>
    </w:p>
    <w:p w14:paraId="32F71DE6" w14:textId="0B9AC898" w:rsidR="00A868F3" w:rsidRPr="007E6DFF" w:rsidRDefault="00094195" w:rsidP="001342E2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 В соответствии с Порядком 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организатором публичных слушаний </w:t>
      </w:r>
      <w:proofErr w:type="spellStart"/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рабочие дни с 8.30 часов до 17.00 часов, по адресу: Архангельская область, город </w:t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60 лет Октября, дом 13, 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каб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через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личный кабинет Едино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портал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="001342E2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342E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опубликования проекта решения и не позднее 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16 мая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4D42DEBD" w14:textId="7B12F59E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Организатору публичных слушаний обеспечить рассмотрение предложений, обобщить их и учесть при доработке проекта решения.</w:t>
      </w:r>
    </w:p>
    <w:p w14:paraId="78B22D57" w14:textId="2A5C1E45" w:rsidR="00C45A6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публичных слушаний, включая мотивированные обоснования принятых решений, направить в Собрание депутатов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опубликовать в периодическом печатном издании «Вестник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района», а также разместить на официальном сайте администрации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</w:t>
      </w:r>
      <w:r w:rsidR="002D0C15" w:rsidRPr="007E6DFF">
        <w:rPr>
          <w:rFonts w:ascii="Times New Roman" w:eastAsia="Calibri" w:hAnsi="Times New Roman" w:cs="Times New Roman"/>
          <w:sz w:val="28"/>
          <w:szCs w:val="28"/>
        </w:rPr>
        <w:t>Едином портале.</w:t>
      </w:r>
    </w:p>
    <w:p w14:paraId="039537AB" w14:textId="13ED4303" w:rsidR="00094195" w:rsidRPr="007E6DFF" w:rsidRDefault="00C61FED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Одновременно с настоящим постановлением опубликовать:</w:t>
      </w:r>
    </w:p>
    <w:p w14:paraId="3DC0A91D" w14:textId="6A7C06CC" w:rsidR="0009419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F04F6CB" w14:textId="77777777" w:rsidR="0076326B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Порядок участия и учета предложений граждан в обсуждении проекта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7DA6726" w14:textId="55DCD07C" w:rsidR="00094195" w:rsidRPr="007E6DFF" w:rsidRDefault="0076326B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направления замечаний и предложений граждан в 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обсуждении проекта решения Собрания депутатов </w:t>
      </w:r>
      <w:proofErr w:type="spellStart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«Об утверждении отчета об исполнении бюджета </w:t>
      </w:r>
      <w:proofErr w:type="spellStart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 через</w:t>
      </w:r>
      <w:r w:rsidR="00941E73" w:rsidRPr="007E6DFF">
        <w:rPr>
          <w:rFonts w:ascii="Times New Roman" w:eastAsia="Calibri" w:hAnsi="Times New Roman" w:cs="Times New Roman"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8F511" w14:textId="2D6B51B9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14:paraId="32DE704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3CB1D5" w14:textId="77777777" w:rsidR="00765A0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BC156B9" w14:textId="7F20555F" w:rsidR="00A868F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округа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А.В. Кононов</w:t>
      </w:r>
    </w:p>
    <w:p w14:paraId="7C258E3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CD80D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D570A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4EC23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C7E20EF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DC23FF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1C1F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0187F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CAB3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E655BB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7C8CC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311CC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292B5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70D7C0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11BD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AB9EF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FE51BB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3925144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F4491D8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9BD3C6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91837A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1B207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BA1EB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73870D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4E1B0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6FF8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8A94DE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1D966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204D0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636F9C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1A108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70AF86D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4494F3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27D63E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742328" w14:textId="58131C0C" w:rsidR="00A868F3" w:rsidRPr="007E6DFF" w:rsidRDefault="00A868F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</w:t>
      </w:r>
    </w:p>
    <w:p w14:paraId="57E95B0F" w14:textId="4D586A6A" w:rsidR="00A868F3" w:rsidRPr="007E6DFF" w:rsidRDefault="00FE42C6" w:rsidP="00FE42C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163F7ACB" w14:textId="77777777" w:rsidR="00FE42C6" w:rsidRPr="007E6DFF" w:rsidRDefault="00FE42C6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5724EB" w14:textId="7B09B330" w:rsidR="00A868F3" w:rsidRPr="007E6DFF" w:rsidRDefault="00A868F3" w:rsidP="00B062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(далее – муниципального образования) и регулирует порядок участия и учета предложений граждан в обсуждении 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проект решения).</w:t>
      </w:r>
    </w:p>
    <w:p w14:paraId="6030165F" w14:textId="3E683ED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7 дней до даты проведения публичных слушаний по проекту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</w:p>
    <w:p w14:paraId="2FD733E6" w14:textId="28B062E0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3. 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6DEEBBEB" w14:textId="25AE178B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должны соответствовать федеральному законодательству, законодательству Архангельской области и быть оформлены в письменном виде по форме согласно Приложению к настоящему Порядку.</w:t>
      </w:r>
    </w:p>
    <w:p w14:paraId="7AAC1D81" w14:textId="62CAC949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37F4D6E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13, приемная администрации, либо по иному адресу, указанному в муниципальном правовом акте о назначении публичных слушаний.</w:t>
      </w:r>
    </w:p>
    <w:p w14:paraId="46E4105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36539F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7. Поступившие предложения передаются на рассмотрение организационной комиссии по проведению публичных слушаний (далее – организационная комиссия), организатору слушаний.</w:t>
      </w:r>
    </w:p>
    <w:p w14:paraId="411E305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8. 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3E31FE5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9. 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1EF7C71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229DBBFD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Публичные слушания проводятся в порядке, установленном Положением об организации и проведении публичных слушаний на территории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14:paraId="18418B5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12. Граждане, представители коллективов 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258B457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13. 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6AF4132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8EEEB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7F981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BB7B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37FA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7FCD" w14:textId="77777777" w:rsidR="00191EB4" w:rsidRPr="007E6DFF" w:rsidRDefault="00191EB4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A5BD20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F95DA7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2EB0BB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E2CD7A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958E9C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30DF45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962FD5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59E407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3C68904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28303B1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03F84EA" w14:textId="77777777" w:rsidR="00B05858" w:rsidRPr="007E6DFF" w:rsidRDefault="00B05858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31ABAE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9156DAD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6655A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</w:t>
      </w:r>
    </w:p>
    <w:p w14:paraId="4479053E" w14:textId="42D0BD5E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направления замечаний и предложений граждан в обсуждении проекта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«Об утверждении отчета об исполнении бюджета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за 2023 год» через</w:t>
      </w:r>
      <w:r w:rsidRPr="007E6DFF">
        <w:rPr>
          <w:rFonts w:ascii="Times New Roman" w:eastAsia="Calibri" w:hAnsi="Times New Roman" w:cs="Times New Roman"/>
          <w:b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</w:p>
    <w:p w14:paraId="71CB05FE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1E5C0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1F9FE" w14:textId="344E5F1C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Для размещения информации о времени и месте проведения публичных слушаний, заблаговременного ознакомления с проектом правового акта, обеспечения возможности представления жителями муниципального образования (далее – жители) своих замечаний и предложений по вынесенному на обсуждение проекту правового акта, опубликования (обнародования) результатов публичных слушаний, включая мотивированное обоснование принятых решений, а также для участия жителей в публичных слушаниях с соблюдением требований об обязательном использовании для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таких целей официального сайта администрации муниципального образования (далее – официальный сайт) может использоваться </w:t>
      </w:r>
      <w:bookmarkStart w:id="1" w:name="_Hlk165544755"/>
      <w:r w:rsidRPr="007E6DFF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bookmarkEnd w:id="1"/>
      <w:r w:rsidRPr="007E6DFF">
        <w:rPr>
          <w:rFonts w:ascii="Times New Roman" w:hAnsi="Times New Roman" w:cs="Times New Roman"/>
          <w:sz w:val="28"/>
          <w:szCs w:val="28"/>
        </w:rPr>
        <w:t xml:space="preserve"> (далее – единый портал), порядок использования которой для указанных целей устанавливается Правительством Российской Федерации.</w:t>
      </w:r>
    </w:p>
    <w:p w14:paraId="4540511A" w14:textId="3BECEEF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2. В случае использования единого портала для проведения публичных слушаний муниципальный правовой акт о назначении публичных слушаний должен содержать информацию о возможности использования в целях организации и проведения публичных слушаний единого портала.</w:t>
      </w:r>
    </w:p>
    <w:p w14:paraId="4F742564" w14:textId="61829E0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пункте 1 настоящей части, в целях оповещения жителей осуществляется уполномоченным сотрудником органа местного самоуправления, принявшего муниципальный правовой акт о назначении публичных слушаний с использованием личного кабинета органа местного самоуправления муниципального образования (далее – орган местного самоуправления) в соответствующем разделе платформы обратной связи единого портала (далее - личный кабинет органа) заблаговременно, с учетом сроков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>, установленных настоящим Положением для размещения соответствующих материалов и информации на официальном сайте.</w:t>
      </w:r>
    </w:p>
    <w:p w14:paraId="35CB4A17" w14:textId="71ED8BA6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 xml:space="preserve">Возможность представления замечаний и предложений по вынесенному на обсуждение проекту правового акта, а также участия в </w:t>
      </w:r>
      <w:r w:rsidRPr="007E6DFF">
        <w:rPr>
          <w:rFonts w:ascii="Times New Roman" w:hAnsi="Times New Roman" w:cs="Times New Roman"/>
          <w:sz w:val="28"/>
          <w:szCs w:val="28"/>
        </w:rPr>
        <w:lastRenderedPageBreak/>
        <w:t>публичных слушаниях с использованием единого портала обеспечивается жителям,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52E62940" w14:textId="23823D0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Представление жителями замечаний и предложений по вынесенному на обсуждение проекту правового акта, а также участие в публичных слушаниях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62C94E5F" w14:textId="7FB687BA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Замечания и предложения по вынесенному на обсуждение проекту правового акта могут быть представлены жителем с использованием единого портала с даты опубликования органом местного самоуправления сведений в соответствии с пунктом 3. настоящей части и до момента завершения публичных слушаний (истечения срока, указанного в муниципальном правовом акте о назначении публичных слушаний) путем направления замечаний и предложений по вынесенному на обсуждение проекту правового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жителя.</w:t>
      </w:r>
    </w:p>
    <w:p w14:paraId="5FD06F59" w14:textId="1391A41B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7. Замечания и предложения по вынесенному на обсуждение проекту правового акта направляются в личный кабинет органа. Орган местного самоуправления обрабатывает поступившие замечания и предложения по вынесенному на обсуждение проекту правового акта с использованием личного кабинета органа. </w:t>
      </w:r>
    </w:p>
    <w:p w14:paraId="5A4C8531" w14:textId="72714E4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8. 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не позднее 10 дней после окончания публичных слушаний.</w:t>
      </w:r>
    </w:p>
    <w:p w14:paraId="6D556D54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0309F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60193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66D1C" w14:textId="77777777" w:rsidR="007E6DFF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76512" w14:textId="21C4B8F2" w:rsidR="00A868F3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A868F3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429D374F" w14:textId="67FD5F59" w:rsidR="00A868F3" w:rsidRPr="007E6DFF" w:rsidRDefault="00FE42C6" w:rsidP="00A868F3">
      <w:pPr>
        <w:widowControl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45FAE6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D9E5" w14:textId="77777777" w:rsidR="00A868F3" w:rsidRPr="007E6DFF" w:rsidRDefault="00A868F3" w:rsidP="00A868F3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300D613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4D01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3D862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368"/>
      <w:bookmarkEnd w:id="2"/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</w:t>
      </w:r>
    </w:p>
    <w:p w14:paraId="2CE10A35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изменению и (или) дополнению проекта </w:t>
      </w:r>
    </w:p>
    <w:p w14:paraId="50516E97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правового акта</w:t>
      </w:r>
    </w:p>
    <w:p w14:paraId="5F0C80CD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63287" w14:textId="77777777" w:rsidR="00A868F3" w:rsidRPr="007E6DFF" w:rsidRDefault="00A868F3" w:rsidP="00A868F3">
      <w:pPr>
        <w:widowControl w:val="0"/>
        <w:tabs>
          <w:tab w:val="right" w:pos="9637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Обсуждаемый проект правового акта: </w:t>
      </w:r>
      <w:r w:rsidRPr="007E6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BD6120" w14:textId="77777777" w:rsidR="00A868F3" w:rsidRPr="007E6DFF" w:rsidRDefault="00A868F3" w:rsidP="00A868F3">
      <w:pPr>
        <w:widowControl w:val="0"/>
        <w:pBdr>
          <w:bottom w:val="single" w:sz="4" w:space="1" w:color="auto"/>
        </w:pBd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AAB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CE5A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Сравнительная таблица изменений (дополнений):</w:t>
      </w:r>
    </w:p>
    <w:p w14:paraId="178132AE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61"/>
        <w:gridCol w:w="2379"/>
        <w:gridCol w:w="2561"/>
        <w:gridCol w:w="1908"/>
      </w:tblGrid>
      <w:tr w:rsidR="00B05858" w:rsidRPr="007E6DFF" w14:paraId="5FE13F7E" w14:textId="77777777" w:rsidTr="00E970E9">
        <w:tc>
          <w:tcPr>
            <w:tcW w:w="503" w:type="dxa"/>
            <w:shd w:val="clear" w:color="auto" w:fill="auto"/>
            <w:vAlign w:val="center"/>
          </w:tcPr>
          <w:p w14:paraId="52820AE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1E97458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4213CCB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26160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227118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FD8813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B05858" w:rsidRPr="007E6DFF" w14:paraId="71265DDF" w14:textId="77777777" w:rsidTr="00E970E9">
        <w:tc>
          <w:tcPr>
            <w:tcW w:w="503" w:type="dxa"/>
            <w:shd w:val="clear" w:color="auto" w:fill="auto"/>
          </w:tcPr>
          <w:p w14:paraId="5F4DA701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410CB03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ED152E6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5F66136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A023133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858" w:rsidRPr="007E6DFF" w14:paraId="2D4901F2" w14:textId="77777777" w:rsidTr="00E970E9">
        <w:tc>
          <w:tcPr>
            <w:tcW w:w="503" w:type="dxa"/>
            <w:shd w:val="clear" w:color="auto" w:fill="auto"/>
          </w:tcPr>
          <w:p w14:paraId="67EC26E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699C4AB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BEC666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2720DE7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3303A11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7E6DFF" w14:paraId="732A26C3" w14:textId="77777777" w:rsidTr="00E970E9">
        <w:tc>
          <w:tcPr>
            <w:tcW w:w="503" w:type="dxa"/>
            <w:shd w:val="clear" w:color="auto" w:fill="auto"/>
          </w:tcPr>
          <w:p w14:paraId="64DC7907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791BF2C2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03CE7ED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7B9A34DA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5EA938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1DF1B0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C7AE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Автор поправок (контактное лицо коллектива авторов):</w:t>
      </w:r>
    </w:p>
    <w:p w14:paraId="57721069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C80C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отчество, год рождения)</w:t>
      </w:r>
    </w:p>
    <w:p w14:paraId="051657ED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7C0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(почтовый адрес, телефон)</w:t>
      </w:r>
    </w:p>
    <w:p w14:paraId="06E4421E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9238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4FFCF" w14:textId="77777777" w:rsidR="00A868F3" w:rsidRPr="00B05858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  <w:bookmarkStart w:id="3" w:name="_GoBack"/>
      <w:bookmarkEnd w:id="3"/>
    </w:p>
    <w:p w14:paraId="45B67527" w14:textId="77777777" w:rsidR="00A868F3" w:rsidRPr="00B05858" w:rsidRDefault="00A868F3" w:rsidP="00A868F3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808B20" w14:textId="77777777" w:rsidR="00A868F3" w:rsidRPr="00B05858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A868F3" w:rsidRPr="00B05858" w:rsidSect="00A868F3">
      <w:headerReference w:type="default" r:id="rId13"/>
      <w:headerReference w:type="first" r:id="rId14"/>
      <w:pgSz w:w="11906" w:h="16838"/>
      <w:pgMar w:top="567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0BA09" w14:textId="77777777" w:rsidR="005A3544" w:rsidRDefault="005A3544" w:rsidP="00D729AA">
      <w:pPr>
        <w:spacing w:line="240" w:lineRule="auto"/>
      </w:pPr>
      <w:r>
        <w:separator/>
      </w:r>
    </w:p>
  </w:endnote>
  <w:endnote w:type="continuationSeparator" w:id="0">
    <w:p w14:paraId="3D116100" w14:textId="77777777" w:rsidR="005A3544" w:rsidRDefault="005A354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D864" w14:textId="77777777" w:rsidR="005A3544" w:rsidRDefault="005A3544" w:rsidP="00D729AA">
      <w:pPr>
        <w:spacing w:line="240" w:lineRule="auto"/>
      </w:pPr>
      <w:r>
        <w:separator/>
      </w:r>
    </w:p>
  </w:footnote>
  <w:footnote w:type="continuationSeparator" w:id="0">
    <w:p w14:paraId="65D5D98D" w14:textId="77777777" w:rsidR="005A3544" w:rsidRDefault="005A354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7431"/>
      <w:docPartObj>
        <w:docPartGallery w:val="Page Numbers (Top of Page)"/>
        <w:docPartUnique/>
      </w:docPartObj>
    </w:sdtPr>
    <w:sdtEndPr/>
    <w:sdtContent>
      <w:p w14:paraId="1091283F" w14:textId="77777777"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7E6DFF">
          <w:rPr>
            <w:rFonts w:ascii="Times New Roman" w:hAnsi="Times New Roman" w:cs="Times New Roman"/>
            <w:noProof/>
          </w:rPr>
          <w:t>8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2BC1AAA4" w14:textId="77777777" w:rsidR="006F7AFC" w:rsidRDefault="006F7AF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F7AFC" w14:paraId="1F781824" w14:textId="77777777" w:rsidTr="006F7AFC">
      <w:tc>
        <w:tcPr>
          <w:tcW w:w="9570" w:type="dxa"/>
        </w:tcPr>
        <w:p w14:paraId="2F350769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32151E" wp14:editId="7C6115C2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06A0CC1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34065727" w14:textId="77777777" w:rsidTr="006F7AFC">
      <w:tc>
        <w:tcPr>
          <w:tcW w:w="9570" w:type="dxa"/>
        </w:tcPr>
        <w:p w14:paraId="5D42D041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73C29C6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10DCD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A1B7AC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B42FD9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14:paraId="263FC57F" w14:textId="77777777" w:rsidTr="006F7AFC">
      <w:tc>
        <w:tcPr>
          <w:tcW w:w="9570" w:type="dxa"/>
        </w:tcPr>
        <w:p w14:paraId="724A44D6" w14:textId="77777777"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F7AFC" w14:paraId="46F50669" w14:textId="77777777" w:rsidTr="006F7AFC">
      <w:tc>
        <w:tcPr>
          <w:tcW w:w="9570" w:type="dxa"/>
        </w:tcPr>
        <w:p w14:paraId="7788676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45D08B42" w14:textId="77777777" w:rsidTr="006F7AFC">
      <w:tc>
        <w:tcPr>
          <w:tcW w:w="9570" w:type="dxa"/>
        </w:tcPr>
        <w:p w14:paraId="4103B200" w14:textId="5B9C82B1" w:rsidR="006F7AFC" w:rsidRPr="00C7038B" w:rsidRDefault="004A7B01" w:rsidP="00B0585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B05858">
            <w:rPr>
              <w:rFonts w:ascii="Times New Roman" w:hAnsi="Times New Roman" w:cs="Times New Roman"/>
              <w:sz w:val="28"/>
              <w:szCs w:val="28"/>
            </w:rPr>
            <w:t>_________</w:t>
          </w:r>
          <w:r w:rsidR="00CA148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05858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B05858">
            <w:rPr>
              <w:rFonts w:ascii="Times New Roman" w:hAnsi="Times New Roman" w:cs="Times New Roman"/>
              <w:sz w:val="28"/>
              <w:szCs w:val="28"/>
            </w:rPr>
            <w:t>___</w:t>
          </w:r>
          <w:r w:rsidR="00A868F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-п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а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6F7AFC" w14:paraId="4D85BEDC" w14:textId="77777777" w:rsidTr="006F7AFC">
      <w:tc>
        <w:tcPr>
          <w:tcW w:w="9570" w:type="dxa"/>
        </w:tcPr>
        <w:p w14:paraId="6C7B33F9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232EBBC2" w14:textId="77777777" w:rsidTr="006F7AFC">
      <w:tc>
        <w:tcPr>
          <w:tcW w:w="9570" w:type="dxa"/>
        </w:tcPr>
        <w:p w14:paraId="1EF7CAE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6F7AFC" w14:paraId="5407E788" w14:textId="77777777" w:rsidTr="006F7AFC">
      <w:tc>
        <w:tcPr>
          <w:tcW w:w="9570" w:type="dxa"/>
        </w:tcPr>
        <w:p w14:paraId="52E5C6C9" w14:textId="77777777"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1016F4A1" w14:textId="77777777" w:rsidTr="006F7AFC">
      <w:tc>
        <w:tcPr>
          <w:tcW w:w="9570" w:type="dxa"/>
        </w:tcPr>
        <w:p w14:paraId="4E4A366E" w14:textId="77777777"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BB36FB8" w14:textId="77777777"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13C6"/>
    <w:rsid w:val="00027BD0"/>
    <w:rsid w:val="00035B69"/>
    <w:rsid w:val="00045B13"/>
    <w:rsid w:val="00066CC8"/>
    <w:rsid w:val="00070C7D"/>
    <w:rsid w:val="00080A5A"/>
    <w:rsid w:val="00081598"/>
    <w:rsid w:val="00094195"/>
    <w:rsid w:val="00097337"/>
    <w:rsid w:val="000A0D65"/>
    <w:rsid w:val="000A5F77"/>
    <w:rsid w:val="000E0507"/>
    <w:rsid w:val="000E5F4B"/>
    <w:rsid w:val="000F0D60"/>
    <w:rsid w:val="00112896"/>
    <w:rsid w:val="00113509"/>
    <w:rsid w:val="00124092"/>
    <w:rsid w:val="001342E2"/>
    <w:rsid w:val="00141FAC"/>
    <w:rsid w:val="00165179"/>
    <w:rsid w:val="00191EB4"/>
    <w:rsid w:val="00197210"/>
    <w:rsid w:val="001D56FE"/>
    <w:rsid w:val="001E69C1"/>
    <w:rsid w:val="001E7CEC"/>
    <w:rsid w:val="00210DCD"/>
    <w:rsid w:val="002220DB"/>
    <w:rsid w:val="00226420"/>
    <w:rsid w:val="00235ECB"/>
    <w:rsid w:val="00281C02"/>
    <w:rsid w:val="00297D07"/>
    <w:rsid w:val="002C04D4"/>
    <w:rsid w:val="002C4F0B"/>
    <w:rsid w:val="002D0C15"/>
    <w:rsid w:val="002E3A18"/>
    <w:rsid w:val="002F09D7"/>
    <w:rsid w:val="00334A54"/>
    <w:rsid w:val="00345645"/>
    <w:rsid w:val="00347404"/>
    <w:rsid w:val="0037724A"/>
    <w:rsid w:val="00381162"/>
    <w:rsid w:val="003D796F"/>
    <w:rsid w:val="003E0C2E"/>
    <w:rsid w:val="003E3234"/>
    <w:rsid w:val="004033C9"/>
    <w:rsid w:val="0043035E"/>
    <w:rsid w:val="00432426"/>
    <w:rsid w:val="00457A34"/>
    <w:rsid w:val="00487BBB"/>
    <w:rsid w:val="004A7B01"/>
    <w:rsid w:val="004B06A6"/>
    <w:rsid w:val="004B44D6"/>
    <w:rsid w:val="004E1A3F"/>
    <w:rsid w:val="004F11FF"/>
    <w:rsid w:val="004F4953"/>
    <w:rsid w:val="00507EE3"/>
    <w:rsid w:val="00527388"/>
    <w:rsid w:val="00533983"/>
    <w:rsid w:val="00546E17"/>
    <w:rsid w:val="0056739B"/>
    <w:rsid w:val="005750EE"/>
    <w:rsid w:val="005915A0"/>
    <w:rsid w:val="005A3544"/>
    <w:rsid w:val="005B0BF1"/>
    <w:rsid w:val="005D243B"/>
    <w:rsid w:val="005E10C9"/>
    <w:rsid w:val="005E5802"/>
    <w:rsid w:val="0060529A"/>
    <w:rsid w:val="00626DB6"/>
    <w:rsid w:val="00631EF0"/>
    <w:rsid w:val="0064414E"/>
    <w:rsid w:val="006466D5"/>
    <w:rsid w:val="00650122"/>
    <w:rsid w:val="00654741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6088B"/>
    <w:rsid w:val="0076326B"/>
    <w:rsid w:val="00765A03"/>
    <w:rsid w:val="007755E0"/>
    <w:rsid w:val="007957E1"/>
    <w:rsid w:val="007A6AFA"/>
    <w:rsid w:val="007B4EDB"/>
    <w:rsid w:val="007B4F27"/>
    <w:rsid w:val="007D3B1C"/>
    <w:rsid w:val="007D5135"/>
    <w:rsid w:val="007D6DCE"/>
    <w:rsid w:val="007E6DFF"/>
    <w:rsid w:val="008369BE"/>
    <w:rsid w:val="008644C1"/>
    <w:rsid w:val="008657FB"/>
    <w:rsid w:val="00865D42"/>
    <w:rsid w:val="00872537"/>
    <w:rsid w:val="008C0B1E"/>
    <w:rsid w:val="00913FD4"/>
    <w:rsid w:val="00923D80"/>
    <w:rsid w:val="0092596F"/>
    <w:rsid w:val="00941E73"/>
    <w:rsid w:val="00965615"/>
    <w:rsid w:val="00983492"/>
    <w:rsid w:val="0099694A"/>
    <w:rsid w:val="009D5CE0"/>
    <w:rsid w:val="009F423F"/>
    <w:rsid w:val="00A13064"/>
    <w:rsid w:val="00A134E0"/>
    <w:rsid w:val="00A260BD"/>
    <w:rsid w:val="00A27287"/>
    <w:rsid w:val="00A6235C"/>
    <w:rsid w:val="00A750D7"/>
    <w:rsid w:val="00A77F6F"/>
    <w:rsid w:val="00A868F3"/>
    <w:rsid w:val="00AC3BB6"/>
    <w:rsid w:val="00AE33FF"/>
    <w:rsid w:val="00AF1905"/>
    <w:rsid w:val="00B00D03"/>
    <w:rsid w:val="00B05858"/>
    <w:rsid w:val="00B06223"/>
    <w:rsid w:val="00B343B1"/>
    <w:rsid w:val="00B508BF"/>
    <w:rsid w:val="00B5798D"/>
    <w:rsid w:val="00B61846"/>
    <w:rsid w:val="00B82EC2"/>
    <w:rsid w:val="00BB1C3D"/>
    <w:rsid w:val="00BB45CE"/>
    <w:rsid w:val="00BD2A91"/>
    <w:rsid w:val="00BD6817"/>
    <w:rsid w:val="00BE77E9"/>
    <w:rsid w:val="00BF38A8"/>
    <w:rsid w:val="00BF5C38"/>
    <w:rsid w:val="00C35491"/>
    <w:rsid w:val="00C45A65"/>
    <w:rsid w:val="00C61FED"/>
    <w:rsid w:val="00C7038B"/>
    <w:rsid w:val="00C81BE7"/>
    <w:rsid w:val="00C8511C"/>
    <w:rsid w:val="00C87200"/>
    <w:rsid w:val="00C92542"/>
    <w:rsid w:val="00CA148F"/>
    <w:rsid w:val="00CD3FA3"/>
    <w:rsid w:val="00CE47C2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EF2F89"/>
    <w:rsid w:val="00F071EB"/>
    <w:rsid w:val="00F10CE9"/>
    <w:rsid w:val="00F55C51"/>
    <w:rsid w:val="00F716AE"/>
    <w:rsid w:val="00F82F88"/>
    <w:rsid w:val="00FA2D32"/>
    <w:rsid w:val="00FA4DAD"/>
    <w:rsid w:val="00FA4E85"/>
    <w:rsid w:val="00FB655E"/>
    <w:rsid w:val="00FC2CC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nyandoma.gosuslugi.ru/ofitsialno/publichnye-slushan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99F1D1-F24E-41DB-859C-E14A5264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2</cp:revision>
  <cp:lastPrinted>2024-05-02T10:18:00Z</cp:lastPrinted>
  <dcterms:created xsi:type="dcterms:W3CDTF">2024-05-02T10:22:00Z</dcterms:created>
  <dcterms:modified xsi:type="dcterms:W3CDTF">2024-05-02T10:22:00Z</dcterms:modified>
</cp:coreProperties>
</file>