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«Присвоение, изменение и аннулирование адресов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объектов адресации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, расположенных на территории Няндомского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области»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>
        <w:rPr>
          <w:rFonts w:ascii="Times New Roman" w:hAnsi="Times New Roman" w:cs="Times New Roman"/>
          <w:sz w:val="28"/>
          <w:szCs w:val="28"/>
        </w:rPr>
        <w:t xml:space="preserve"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пунктом 3.2. статьи 6</w:t>
      </w:r>
      <w:r>
        <w:rPr>
          <w:rFonts w:ascii="Times New Roman" w:hAnsi="Times New Roman" w:cs="Times New Roman"/>
          <w:sz w:val="28"/>
          <w:szCs w:val="28"/>
        </w:rPr>
        <w:t xml:space="preserve">, статьей 40</w:t>
      </w:r>
      <w:r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округа Архангельской области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 xml:space="preserve">постановляе</w:t>
      </w: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 xml:space="preserve">т</w:t>
      </w: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tabs>
          <w:tab w:val="left" w:pos="992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</w:t>
      </w:r>
      <w:r>
        <w:rPr>
          <w:rFonts w:ascii="Times New Roman" w:hAnsi="Times New Roman" w:cs="Times New Roman"/>
          <w:sz w:val="28"/>
          <w:szCs w:val="28"/>
        </w:rPr>
        <w:t xml:space="preserve">Утвердить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дминистративный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регламент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«Присвоение, изменение и аннулирование адресов</w:t>
      </w:r>
      <w:r>
        <w:rPr>
          <w:rFonts w:ascii="Times New Roman" w:hAnsi="Times New Roman" w:cs="Times New Roman"/>
          <w:sz w:val="28"/>
          <w:szCs w:val="28"/>
        </w:rPr>
        <w:t xml:space="preserve"> объектов адресации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согласно приложению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 настоящему постановлению.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2. Установить, что положения административного регламента в части, касающейся предоставления </w:t>
      </w:r>
      <w:r>
        <w:rPr>
          <w:rFonts w:ascii="Times New Roman" w:hAnsi="Times New Roman"/>
          <w:sz w:val="28"/>
          <w:szCs w:val="24"/>
        </w:rPr>
        <w:t xml:space="preserve">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  <w:r>
        <w:rPr>
          <w:rFonts w:ascii="Times New Roman" w:hAnsi="Times New Roman"/>
          <w:sz w:val="28"/>
          <w:szCs w:val="24"/>
        </w:rPr>
      </w:r>
    </w:p>
    <w:p>
      <w:pPr>
        <w:contextualSpacing/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</w:t>
      </w:r>
      <w:r>
        <w:rPr>
          <w:rFonts w:ascii="Times New Roman" w:hAnsi="Times New Roman"/>
          <w:sz w:val="28"/>
          <w:szCs w:val="24"/>
        </w:rPr>
        <w:t xml:space="preserve">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</w:t>
      </w:r>
      <w:r>
        <w:rPr>
          <w:rFonts w:ascii="Times New Roman" w:hAnsi="Times New Roman"/>
          <w:sz w:val="28"/>
          <w:szCs w:val="24"/>
        </w:rPr>
        <w:t xml:space="preserve">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  <w:r>
        <w:rPr>
          <w:rFonts w:ascii="Times New Roman" w:hAnsi="Times New Roman"/>
          <w:sz w:val="28"/>
          <w:szCs w:val="24"/>
        </w:rPr>
      </w:r>
    </w:p>
    <w:p>
      <w:pPr>
        <w:contextualSpacing/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</w:t>
      </w:r>
      <w:r>
        <w:rPr>
          <w:rFonts w:ascii="Times New Roman" w:hAnsi="Times New Roman"/>
          <w:sz w:val="28"/>
          <w:szCs w:val="24"/>
        </w:rPr>
        <w:t xml:space="preserve">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>
        <w:rPr>
          <w:rFonts w:ascii="Times New Roman" w:hAnsi="Times New Roman"/>
          <w:sz w:val="28"/>
          <w:szCs w:val="24"/>
        </w:rPr>
        <w:t xml:space="preserve">округа</w:t>
      </w:r>
      <w:r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  <w:r>
        <w:rPr>
          <w:rFonts w:ascii="Times New Roman" w:hAnsi="Times New Roman"/>
          <w:sz w:val="28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Признать утратившим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постановлени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е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 администрации Няндомск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ого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 муниципальн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ого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а Архангельской области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 от 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14 апреля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 20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22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 года </w:t>
      </w:r>
      <w:r>
        <w:rPr>
          <w:rStyle w:val="833"/>
          <w:rFonts w:ascii="Times New Roman" w:hAnsi="Times New Roman"/>
          <w:b w:val="0"/>
          <w:sz w:val="28"/>
          <w:szCs w:val="28"/>
        </w:rPr>
        <w:br/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12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2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-па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833"/>
          <w:rFonts w:ascii="Times New Roman" w:hAnsi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«Присвоение, изменение и аннулирование адресов объектов адресации,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«Няндомское» </w:t>
      </w:r>
      <w:r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</w:t>
      </w:r>
      <w:r>
        <w:rPr>
          <w:rFonts w:ascii="Times New Roman" w:hAnsi="Times New Roman" w:cs="Times New Roman"/>
          <w:sz w:val="28"/>
          <w:szCs w:val="28"/>
        </w:rPr>
        <w:t xml:space="preserve">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о</w:t>
      </w:r>
      <w:r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>
        <w:rPr>
          <w:rFonts w:ascii="Times New Roman" w:hAnsi="Times New Roman" w:cs="Times New Roman"/>
          <w:sz w:val="28"/>
          <w:szCs w:val="28"/>
        </w:rPr>
        <w:t xml:space="preserve">периодиче</w:t>
      </w:r>
      <w:r>
        <w:rPr>
          <w:rFonts w:ascii="Times New Roman" w:hAnsi="Times New Roman" w:cs="Times New Roman"/>
          <w:sz w:val="28"/>
          <w:szCs w:val="28"/>
        </w:rPr>
        <w:t xml:space="preserve">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shd w:val="clear" w:color="auto" w:fill="ffffff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contextualSpacing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106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>
        <w:trPr/>
        <w:tc>
          <w:tcPr>
            <w:tcW w:w="5637" w:type="dxa"/>
            <w:textDirection w:val="lrTb"/>
            <w:noWrap w:val="false"/>
          </w:tcPr>
          <w:p>
            <w:pPr>
              <w:pStyle w:val="834"/>
              <w:spacing w:before="0" w:beforeAutospacing="0" w:after="0" w:afterAutospacing="0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И.о. г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лав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834"/>
              <w:spacing w:before="0" w:beforeAutospacing="0" w:after="0" w:afterAutospacing="0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муниципального округа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3933" w:type="dxa"/>
            <w:textDirection w:val="lrTb"/>
            <w:noWrap w:val="false"/>
          </w:tcPr>
          <w:p>
            <w:pPr>
              <w:pStyle w:val="834"/>
              <w:ind w:firstLine="709"/>
              <w:jc w:val="right"/>
              <w:spacing w:before="0" w:beforeAutospacing="0" w:after="0" w:afterAutospacing="0"/>
              <w:widowControl w:val="off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834"/>
              <w:ind w:firstLine="709"/>
              <w:jc w:val="right"/>
              <w:spacing w:before="0" w:beforeAutospacing="0" w:after="0" w:afterAutospacing="0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А.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Г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Ведернико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53311938"/>
      <w:docPartObj>
        <w:docPartGallery w:val="Page Numbers (Top of Page)"/>
        <w:docPartUnique w:val="true"/>
      </w:docPartObj>
      <w:rPr/>
    </w:sdtPr>
    <w:sdtContent>
      <w:p>
        <w:pPr>
          <w:pStyle w:val="82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8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827"/>
      <w:tblpPr w:horzAnchor="margin" w:tblpXSpec="left" w:vertAnchor="text" w:tblpY="123" w:leftFromText="180" w:topFromText="0" w:rightFromText="180" w:bottomFromText="0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9570"/>
    </w:tblGrid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564996" cy="680265"/>
                    <wp:effectExtent l="19050" t="0" r="6504" b="0"/>
                    <wp:docPr id="1" name="Рисунок 3" descr="Няндомский район-Г одноцветный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7" descr="Няндомский район-Г одноцветный"/>
                            <pic:cNvPicPr>
                              <a:picLocks noChangeAspect="1" noChangeArrowheads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564996" cy="680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44.49pt;height:53.56pt;mso-wrap-distance-left:0.00pt;mso-wrap-distance-top:0.00pt;mso-wrap-distance-right:0.00pt;mso-wrap-distance-bottom:0.00pt;" stroked="f" strokeweight="0.75pt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sz w:val="36"/>
              <w:szCs w:val="36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АДМИНИСТРАЦИЯ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ОКРУГА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АРХАНГЕЛЬСКОЙ ОБЛАСТИ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  <w:p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</w:r>
          <w:r>
            <w:rPr>
              <w:rFonts w:ascii="Times New Roman" w:hAnsi="Times New Roman" w:cs="Times New Roman"/>
              <w:b/>
              <w:sz w:val="36"/>
              <w:szCs w:val="36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 xml:space="preserve">П О С Т А Н О В Л Е Н И Е</w:t>
          </w:r>
          <w:r>
            <w:rPr>
              <w:rFonts w:ascii="Times New Roman" w:hAnsi="Times New Roman" w:cs="Times New Roman"/>
              <w:b/>
              <w:sz w:val="36"/>
              <w:szCs w:val="36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</w:r>
          <w:r>
            <w:rPr>
              <w:rFonts w:ascii="Times New Roman" w:hAnsi="Times New Roman" w:cs="Times New Roman"/>
              <w:b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20»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февраля 202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3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111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-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п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а</w:t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</w:rPr>
            <w:t xml:space="preserve">г. Няндома</w:t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  <w:tr>
      <w:trPr/>
      <w:tc>
        <w:tcPr>
          <w:tcW w:w="9570" w:type="dxa"/>
          <w:textDirection w:val="lrTb"/>
          <w:noWrap w:val="false"/>
        </w:tcPr>
        <w:p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</w:r>
        </w:p>
      </w:tc>
    </w:tr>
  </w:tbl>
  <w:p>
    <w:pPr>
      <w:pStyle w:val="8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19"/>
    <w:next w:val="8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19"/>
    <w:next w:val="8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19"/>
    <w:next w:val="8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19"/>
    <w:next w:val="8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19"/>
    <w:next w:val="8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19"/>
    <w:next w:val="8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19"/>
    <w:next w:val="8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19"/>
    <w:next w:val="8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19"/>
    <w:next w:val="8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19"/>
    <w:next w:val="8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20"/>
    <w:link w:val="34"/>
    <w:uiPriority w:val="10"/>
    <w:rPr>
      <w:sz w:val="48"/>
      <w:szCs w:val="48"/>
    </w:rPr>
  </w:style>
  <w:style w:type="paragraph" w:styleId="36">
    <w:name w:val="Subtitle"/>
    <w:basedOn w:val="819"/>
    <w:next w:val="8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20"/>
    <w:link w:val="36"/>
    <w:uiPriority w:val="11"/>
    <w:rPr>
      <w:sz w:val="24"/>
      <w:szCs w:val="24"/>
    </w:rPr>
  </w:style>
  <w:style w:type="paragraph" w:styleId="38">
    <w:name w:val="Quote"/>
    <w:basedOn w:val="819"/>
    <w:next w:val="8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19"/>
    <w:next w:val="8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20"/>
    <w:link w:val="823"/>
    <w:uiPriority w:val="99"/>
  </w:style>
  <w:style w:type="character" w:styleId="45">
    <w:name w:val="Footer Char"/>
    <w:basedOn w:val="820"/>
    <w:link w:val="825"/>
    <w:uiPriority w:val="99"/>
  </w:style>
  <w:style w:type="paragraph" w:styleId="46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25"/>
    <w:uiPriority w:val="99"/>
  </w:style>
  <w:style w:type="table" w:styleId="49">
    <w:name w:val="Table Grid Light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8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20"/>
    <w:uiPriority w:val="99"/>
    <w:unhideWhenUsed/>
    <w:rPr>
      <w:vertAlign w:val="superscript"/>
    </w:rPr>
  </w:style>
  <w:style w:type="paragraph" w:styleId="178">
    <w:name w:val="endnote text"/>
    <w:basedOn w:val="8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20"/>
    <w:uiPriority w:val="99"/>
    <w:semiHidden/>
    <w:unhideWhenUsed/>
    <w:rPr>
      <w:vertAlign w:val="superscript"/>
    </w:rPr>
  </w:style>
  <w:style w:type="paragraph" w:styleId="181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19"/>
    <w:next w:val="819"/>
    <w:uiPriority w:val="99"/>
    <w:unhideWhenUsed/>
    <w:pPr>
      <w:spacing w:after="0" w:afterAutospacing="0"/>
    </w:pPr>
  </w:style>
  <w:style w:type="paragraph" w:styleId="819" w:default="1">
    <w:name w:val="Normal"/>
    <w:qFormat/>
  </w:style>
  <w:style w:type="character" w:styleId="820" w:default="1">
    <w:name w:val="Default Paragraph Font"/>
    <w:uiPriority w:val="1"/>
    <w:semiHidden/>
    <w:unhideWhenUsed/>
  </w:style>
  <w:style w:type="table" w:styleId="8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2" w:default="1">
    <w:name w:val="No List"/>
    <w:uiPriority w:val="99"/>
    <w:semiHidden/>
    <w:unhideWhenUsed/>
  </w:style>
  <w:style w:type="paragraph" w:styleId="823">
    <w:name w:val="Header"/>
    <w:basedOn w:val="819"/>
    <w:link w:val="8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4" w:customStyle="1">
    <w:name w:val="Верхний колонтитул Знак"/>
    <w:basedOn w:val="820"/>
    <w:link w:val="823"/>
    <w:uiPriority w:val="99"/>
  </w:style>
  <w:style w:type="paragraph" w:styleId="825">
    <w:name w:val="Footer"/>
    <w:basedOn w:val="819"/>
    <w:link w:val="82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6" w:customStyle="1">
    <w:name w:val="Нижний колонтитул Знак"/>
    <w:basedOn w:val="820"/>
    <w:link w:val="825"/>
    <w:uiPriority w:val="99"/>
  </w:style>
  <w:style w:type="table" w:styleId="827">
    <w:name w:val="Table Grid"/>
    <w:basedOn w:val="821"/>
    <w:uiPriority w:val="59"/>
    <w:pPr>
      <w:jc w:val="both"/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28">
    <w:name w:val="Balloon Text"/>
    <w:basedOn w:val="819"/>
    <w:link w:val="82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9" w:customStyle="1">
    <w:name w:val="Текст выноски Знак"/>
    <w:basedOn w:val="820"/>
    <w:link w:val="828"/>
    <w:uiPriority w:val="99"/>
    <w:semiHidden/>
    <w:rPr>
      <w:rFonts w:ascii="Tahoma" w:hAnsi="Tahoma" w:cs="Tahoma"/>
      <w:sz w:val="16"/>
      <w:szCs w:val="16"/>
    </w:rPr>
  </w:style>
  <w:style w:type="paragraph" w:styleId="830">
    <w:name w:val="List Paragraph"/>
    <w:basedOn w:val="819"/>
    <w:uiPriority w:val="34"/>
    <w:qFormat/>
    <w:pPr>
      <w:contextualSpacing/>
      <w:ind w:left="720"/>
    </w:pPr>
  </w:style>
  <w:style w:type="paragraph" w:styleId="831">
    <w:name w:val="Normal (Web)"/>
    <w:basedOn w:val="81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2">
    <w:name w:val="Hyperlink"/>
    <w:basedOn w:val="820"/>
    <w:uiPriority w:val="99"/>
    <w:unhideWhenUsed/>
    <w:rPr>
      <w:color w:val="0000ff"/>
      <w:u w:val="single"/>
    </w:rPr>
  </w:style>
  <w:style w:type="character" w:styleId="833">
    <w:name w:val="Strong"/>
    <w:uiPriority w:val="22"/>
    <w:qFormat/>
    <w:rPr>
      <w:b/>
      <w:bCs/>
    </w:rPr>
  </w:style>
  <w:style w:type="paragraph" w:styleId="834" w:customStyle="1">
    <w:name w:val="western"/>
    <w:basedOn w:val="819"/>
    <w:link w:val="83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35" w:customStyle="1">
    <w:name w:val="western Знак"/>
    <w:link w:val="834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revision>17</cp:revision>
  <dcterms:created xsi:type="dcterms:W3CDTF">2021-04-16T14:30:00Z</dcterms:created>
  <dcterms:modified xsi:type="dcterms:W3CDTF">2023-09-05T14:06:11Z</dcterms:modified>
</cp:coreProperties>
</file>