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EB1CE5" w:rsidRPr="002175CD" w14:paraId="2339B56C" w14:textId="77777777" w:rsidTr="007E0645">
        <w:tc>
          <w:tcPr>
            <w:tcW w:w="4111" w:type="dxa"/>
          </w:tcPr>
          <w:p w14:paraId="28FA3D73" w14:textId="77777777" w:rsidR="00EB1CE5" w:rsidRPr="002175CD" w:rsidRDefault="00EB1CE5" w:rsidP="007E06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5812" w:type="dxa"/>
          </w:tcPr>
          <w:p w14:paraId="23142DD6" w14:textId="32628C7F" w:rsidR="00EB1CE5" w:rsidRPr="002175CD" w:rsidRDefault="00EB1CE5" w:rsidP="007E0645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95A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14:paraId="582F220A" w14:textId="77777777" w:rsidR="00EB1CE5" w:rsidRPr="002175CD" w:rsidRDefault="00EB1CE5" w:rsidP="007E0645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bookmarkEnd w:id="1"/>
    <w:p w14:paraId="4C89A305" w14:textId="5DBE35B6" w:rsidR="000E2F5F" w:rsidRDefault="00B64D2D" w:rsidP="00BC1CFE">
      <w:pPr>
        <w:pStyle w:val="1"/>
        <w:spacing w:before="240" w:after="600"/>
        <w:ind w:firstLine="0"/>
        <w:jc w:val="center"/>
        <w:rPr>
          <w:b/>
          <w:bCs/>
          <w:sz w:val="24"/>
          <w:szCs w:val="24"/>
        </w:rPr>
      </w:pPr>
      <w:r w:rsidRPr="00BC1CFE">
        <w:rPr>
          <w:b/>
          <w:bCs/>
          <w:sz w:val="24"/>
          <w:szCs w:val="24"/>
        </w:rPr>
        <w:t>Форма договора безвозмездного пользования земельным участком, находящегося в государственной или муниципальной собственности</w:t>
      </w:r>
    </w:p>
    <w:p w14:paraId="0724BEC1" w14:textId="6C4759D3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ДОГОВОР БЕЗВОЗМЕЗДНОГО ПОЛЬЗОВАНИЯ № </w:t>
      </w:r>
      <w:r w:rsidR="002D3C3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_______</w:t>
      </w:r>
    </w:p>
    <w:p w14:paraId="27B697E1" w14:textId="55AFE17A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2ED5B32" w14:textId="77777777" w:rsidR="0043250B" w:rsidRPr="0043250B" w:rsidRDefault="0043250B" w:rsidP="0043250B">
      <w:pPr>
        <w:keepNext/>
        <w:widowControl/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5048"/>
      </w:tblGrid>
      <w:tr w:rsidR="0043250B" w:rsidRPr="0043250B" w14:paraId="659651EB" w14:textId="77777777" w:rsidTr="007E0645">
        <w:tc>
          <w:tcPr>
            <w:tcW w:w="5125" w:type="dxa"/>
          </w:tcPr>
          <w:p w14:paraId="06D05972" w14:textId="77777777" w:rsidR="0043250B" w:rsidRPr="0043250B" w:rsidRDefault="0043250B" w:rsidP="0043250B">
            <w:pPr>
              <w:jc w:val="both"/>
              <w:rPr>
                <w:b/>
                <w:bCs/>
                <w:color w:val="auto"/>
                <w:u w:val="single"/>
              </w:rPr>
            </w:pPr>
            <w:r w:rsidRPr="0043250B">
              <w:rPr>
                <w:b/>
                <w:bCs/>
                <w:color w:val="auto"/>
                <w:u w:val="single"/>
              </w:rPr>
              <w:t>г. Няндома</w:t>
            </w:r>
          </w:p>
          <w:p w14:paraId="02041A72" w14:textId="77777777" w:rsidR="0043250B" w:rsidRPr="0043250B" w:rsidRDefault="0043250B" w:rsidP="0043250B">
            <w:pPr>
              <w:jc w:val="both"/>
              <w:rPr>
                <w:color w:val="auto"/>
              </w:rPr>
            </w:pPr>
            <w:r w:rsidRPr="0043250B">
              <w:rPr>
                <w:color w:val="auto"/>
                <w:sz w:val="18"/>
                <w:szCs w:val="18"/>
              </w:rPr>
              <w:t>(место заключения договора)</w:t>
            </w:r>
          </w:p>
        </w:tc>
        <w:tc>
          <w:tcPr>
            <w:tcW w:w="5048" w:type="dxa"/>
            <w:vAlign w:val="center"/>
          </w:tcPr>
          <w:p w14:paraId="72774B72" w14:textId="21B49B97" w:rsidR="0043250B" w:rsidRPr="0043250B" w:rsidRDefault="002D3C35" w:rsidP="0043250B">
            <w:pPr>
              <w:jc w:val="right"/>
              <w:rPr>
                <w:color w:val="auto"/>
              </w:rPr>
            </w:pPr>
            <w:r>
              <w:rPr>
                <w:b/>
                <w:bCs/>
                <w:color w:val="auto"/>
                <w:u w:val="single"/>
              </w:rPr>
              <w:t>_________________г.</w:t>
            </w:r>
          </w:p>
        </w:tc>
      </w:tr>
    </w:tbl>
    <w:p w14:paraId="52D19EBA" w14:textId="399438DB" w:rsidR="0043250B" w:rsidRPr="0043250B" w:rsidRDefault="0043250B" w:rsidP="0043250B">
      <w:pPr>
        <w:widowControl/>
        <w:spacing w:before="120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___________,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Няндомский муниципальный округ Архангельской области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через Комитет по управлению муниципальным имуществом и земельными ресурсами администрации Няндомского муниципального округа Архангельской области, в лице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действующей на основании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именуемый в дальнейшем «Ссудодатель», и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именуемое в дальнейшем “Ссудополучатель”, и именуемые в дальнейшем  «Стороны», заключили настоящий договор (далее - Договор) о нижеследующем:</w:t>
      </w:r>
    </w:p>
    <w:p w14:paraId="4EC33729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1. Предмет Договора</w:t>
      </w:r>
    </w:p>
    <w:p w14:paraId="322807D2" w14:textId="6A75DCFC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Ссудодатель предоставляет, а Ссудополучатель принимает в безвозмездное пользование земельный участок (далее – Участок)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из земель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Pr="0043250B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 xml:space="preserve">с кадастровым 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номером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расположенный: </w:t>
      </w:r>
      <w:r w:rsidR="002D3C35">
        <w:rPr>
          <w:rFonts w:ascii="Times New Roman" w:eastAsia="Times New Roman" w:hAnsi="Times New Roman" w:cs="Times New Roman"/>
          <w:b/>
          <w:i/>
          <w:color w:val="auto"/>
          <w:sz w:val="22"/>
          <w:szCs w:val="22"/>
          <w:lang w:bidi="ar-SA"/>
        </w:rPr>
        <w:t>______________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, 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 видом разрешенного использования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общей площадью </w:t>
      </w:r>
      <w:r w:rsidR="002D3C35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 xml:space="preserve"> </w:t>
      </w:r>
      <w:proofErr w:type="spellStart"/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lang w:bidi="ar-SA"/>
        </w:rPr>
        <w:t>кв.м</w:t>
      </w:r>
      <w:proofErr w:type="spellEnd"/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, находящийся на праве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собственности.</w:t>
      </w:r>
    </w:p>
    <w:p w14:paraId="44C0DAA8" w14:textId="3CC61B0D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Земельный участок предоставляется для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59130EE" w14:textId="77777777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Ограничений по данному земельному участку не имеется, сервитут не устанавливается.</w:t>
      </w:r>
    </w:p>
    <w:p w14:paraId="1E0EE265" w14:textId="048AC34E" w:rsidR="0043250B" w:rsidRPr="0043250B" w:rsidRDefault="0043250B" w:rsidP="002D3C35">
      <w:pPr>
        <w:widowControl/>
        <w:numPr>
          <w:ilvl w:val="0"/>
          <w:numId w:val="88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На Участке имеется: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__________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3C0FFE8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2. Срок Договора</w:t>
      </w:r>
    </w:p>
    <w:p w14:paraId="4CA55A76" w14:textId="48498593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Срок использования участка устанавливается </w:t>
      </w:r>
      <w:r w:rsidR="002D3C35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_________</w:t>
      </w:r>
      <w:r w:rsidRPr="0043250B">
        <w:rPr>
          <w:rFonts w:ascii="Times New Roman" w:eastAsia="Times New Roman" w:hAnsi="Times New Roman" w:cs="Times New Roman"/>
          <w:b/>
          <w:bCs/>
          <w:i/>
          <w:iCs/>
          <w:color w:val="auto"/>
          <w:sz w:val="21"/>
          <w:szCs w:val="21"/>
          <w:lang w:bidi="ar-SA"/>
        </w:rPr>
        <w:t>.</w:t>
      </w:r>
    </w:p>
    <w:p w14:paraId="7E8C48A4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Договор, заключенный на срок более одного года, вступает в силу с даты его государственной регистрации в учреждении юстиции по государственной регистрации права на недвижимое имущество и сделок с ним.</w:t>
      </w:r>
    </w:p>
    <w:p w14:paraId="66CBAB5E" w14:textId="77777777" w:rsidR="0043250B" w:rsidRPr="0043250B" w:rsidRDefault="0043250B" w:rsidP="002D3C35">
      <w:pPr>
        <w:widowControl/>
        <w:numPr>
          <w:ilvl w:val="0"/>
          <w:numId w:val="89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Договор, заключенный на срок менее чем один год, вступает в силу с даты его подписания Сторонами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</w:p>
    <w:p w14:paraId="2E7A3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3. Права и обязанности Сторон</w:t>
      </w:r>
    </w:p>
    <w:p w14:paraId="21690EDA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имеет право:</w:t>
      </w:r>
    </w:p>
    <w:p w14:paraId="566B8A19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Требовать досрочного расторжения Договора при использовании земельного участка не по целевому назначению или не в соответствии с видом разрешенного использования, а также при использовании способами, приводящими к его порче, и в случаях нарушения других условий Договора.</w:t>
      </w:r>
    </w:p>
    <w:p w14:paraId="769DD72A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беспрепятственный доступ на территорию используемого земельного участка с целью его осмотра на предмет соблюдения условий Договора.</w:t>
      </w:r>
    </w:p>
    <w:p w14:paraId="205470A7" w14:textId="77777777" w:rsidR="0043250B" w:rsidRPr="0043250B" w:rsidRDefault="0043250B" w:rsidP="00600AB9">
      <w:pPr>
        <w:widowControl/>
        <w:numPr>
          <w:ilvl w:val="0"/>
          <w:numId w:val="91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На возмещение убытков, причиненных ухудшением качества Участка и экологической обстановки в результате хозяйственной деятельности Ссудополучателя, а также по иным основаниям, предусмотренным законодательством Российской Федерации.</w:t>
      </w:r>
    </w:p>
    <w:p w14:paraId="62727D06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Ссудодатель обязан:</w:t>
      </w:r>
    </w:p>
    <w:p w14:paraId="5D333E86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11F27160" w14:textId="77777777" w:rsidR="0043250B" w:rsidRPr="0043250B" w:rsidRDefault="0043250B" w:rsidP="00600AB9">
      <w:pPr>
        <w:widowControl/>
        <w:numPr>
          <w:ilvl w:val="0"/>
          <w:numId w:val="92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Передать Ссудополучателю участок по акту приема-передачи.</w:t>
      </w:r>
    </w:p>
    <w:p w14:paraId="1CF4296C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lastRenderedPageBreak/>
        <w:t>Ссудополучатель имеет право использовать Участок на условиях, установленных Договором.</w:t>
      </w:r>
    </w:p>
    <w:p w14:paraId="5DE5DAE4" w14:textId="77777777" w:rsidR="0043250B" w:rsidRPr="0043250B" w:rsidRDefault="0043250B" w:rsidP="00600AB9">
      <w:pPr>
        <w:widowControl/>
        <w:numPr>
          <w:ilvl w:val="0"/>
          <w:numId w:val="90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u w:val="single"/>
          <w:lang w:bidi="ar-SA"/>
        </w:rPr>
        <w:t>Ссудополучатель обязан:</w:t>
      </w:r>
    </w:p>
    <w:p w14:paraId="560B41AE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выполнять в полном объеме все условия Договора.</w:t>
      </w:r>
    </w:p>
    <w:p w14:paraId="08E39CC9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Использовать участок в соответствии с целевым назначением и разрешенным использованием.</w:t>
      </w:r>
    </w:p>
    <w:p w14:paraId="1F028611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Обеспечить Ссудодателю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14:paraId="3EDDF2B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Не допускать действий, приводящих к ухудшению экологической обстановки на используемом земельном участке и прилегающих к нему территориях, а также выполнять работу по благоустройству территории.</w:t>
      </w:r>
    </w:p>
    <w:p w14:paraId="63B6688B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При прекращении Договора Ссудополучатель обязан вернуть Ссудодателю Участок в том состоянии, в котором он его получил.</w:t>
      </w:r>
    </w:p>
    <w:p w14:paraId="67D5908F" w14:textId="77777777" w:rsidR="0043250B" w:rsidRPr="0043250B" w:rsidRDefault="0043250B" w:rsidP="00600AB9">
      <w:pPr>
        <w:widowControl/>
        <w:numPr>
          <w:ilvl w:val="0"/>
          <w:numId w:val="93"/>
        </w:numPr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Ссудодатель и Ссудополучатель имеют иные права и несут иные обязанности, установленные законодательством Российской Федерации.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ab/>
      </w:r>
    </w:p>
    <w:p w14:paraId="0717A5A7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4. Ответственность Сторон</w:t>
      </w:r>
    </w:p>
    <w:p w14:paraId="313ABA21" w14:textId="06FCDF9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За нарушение условий Договора стороны несут ответственность</w:t>
      </w:r>
      <w:r w:rsidR="00600AB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,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предусмотренную законодательством Российской федерации.</w:t>
      </w:r>
    </w:p>
    <w:p w14:paraId="35036240" w14:textId="77777777" w:rsidR="0043250B" w:rsidRPr="0043250B" w:rsidRDefault="0043250B" w:rsidP="00600AB9">
      <w:pPr>
        <w:widowControl/>
        <w:numPr>
          <w:ilvl w:val="0"/>
          <w:numId w:val="94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Ответственность сторон за нарушение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14:paraId="5DDCF80E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5. Порядок возврата земельного участка.</w:t>
      </w:r>
    </w:p>
    <w:p w14:paraId="012523E1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По истечении срока безвозмездного пользования Участков Ссудополучатель обязан передать Ссудодателю участок в день окончания срока действия настоящего договора по передаточному акту.</w:t>
      </w:r>
    </w:p>
    <w:p w14:paraId="08DE2CB5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С момента подписания передаточного акта Участок считается возвращенным Ссудодателю.</w:t>
      </w:r>
    </w:p>
    <w:p w14:paraId="4E65D78C" w14:textId="77777777" w:rsidR="0043250B" w:rsidRPr="0043250B" w:rsidRDefault="0043250B" w:rsidP="00600AB9">
      <w:pPr>
        <w:widowControl/>
        <w:numPr>
          <w:ilvl w:val="0"/>
          <w:numId w:val="95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Участок должен быть возвращен ссудодателю в том состоянии, в котором ссудополучатель его получил, если другое не будет оговорено в дополнительных соглашениях к настоящему Договору </w:t>
      </w:r>
    </w:p>
    <w:p w14:paraId="340AF941" w14:textId="77777777" w:rsidR="0043250B" w:rsidRPr="0043250B" w:rsidRDefault="0043250B" w:rsidP="0043250B">
      <w:pPr>
        <w:widowControl/>
        <w:autoSpaceDE w:val="0"/>
        <w:autoSpaceDN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6. Изменение, расторжение и прекращение Договора</w:t>
      </w:r>
    </w:p>
    <w:p w14:paraId="2408F740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Все изменения и (или) дополнения к договору оформляются Сторонами в письменной форме.</w:t>
      </w:r>
    </w:p>
    <w:p w14:paraId="0702146A" w14:textId="77777777" w:rsidR="0043250B" w:rsidRPr="0043250B" w:rsidRDefault="0043250B" w:rsidP="00600AB9">
      <w:pPr>
        <w:widowControl/>
        <w:numPr>
          <w:ilvl w:val="0"/>
          <w:numId w:val="96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Договор может быть расторгнут по требованию Ссудодателя по решению суда на основании и в порядке, установленном гражданским законодательством.</w:t>
      </w:r>
    </w:p>
    <w:p w14:paraId="75D5E8E4" w14:textId="77777777" w:rsidR="0043250B" w:rsidRPr="0043250B" w:rsidRDefault="0043250B" w:rsidP="0043250B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7.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Заключительные положения</w:t>
      </w:r>
    </w:p>
    <w:p w14:paraId="2A54707C" w14:textId="4246B173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Договор составлен в 2 (двух) экземплярах, имеющих одинаковую юридическую силу, </w:t>
      </w:r>
      <w:r w:rsidR="00600AB9"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>из которых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2"/>
          <w:szCs w:val="22"/>
          <w:lang w:bidi="ar-SA"/>
        </w:rPr>
        <w:t xml:space="preserve"> первый экземпляр передается ссудополучателю, второй экземпляр хранится у ссудодателя. Договор подлежит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046C100E" w14:textId="77777777" w:rsidR="0043250B" w:rsidRPr="0043250B" w:rsidRDefault="0043250B" w:rsidP="00600AB9">
      <w:pPr>
        <w:widowControl/>
        <w:numPr>
          <w:ilvl w:val="0"/>
          <w:numId w:val="97"/>
        </w:numPr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Права Ссудодателя по настоящему Договору не могут быть предметом залога третьим лицам.</w:t>
      </w:r>
    </w:p>
    <w:p w14:paraId="40B095BE" w14:textId="77777777" w:rsidR="0043250B" w:rsidRPr="0043250B" w:rsidRDefault="0043250B" w:rsidP="0043250B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8</w:t>
      </w:r>
      <w:r w:rsidRPr="0043250B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. </w:t>
      </w: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Юридические адреса и реквизиты сторон:</w:t>
      </w:r>
    </w:p>
    <w:p w14:paraId="516D7DC1" w14:textId="77777777" w:rsidR="0043250B" w:rsidRPr="0043250B" w:rsidRDefault="0043250B" w:rsidP="0043250B">
      <w:pPr>
        <w:widowControl/>
        <w:ind w:firstLine="567"/>
        <w:jc w:val="both"/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Ссудодатель:</w:t>
      </w:r>
      <w:r w:rsidRPr="0043250B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Няндомский муниципальный округ Архангельской области через Комитет по управлению муниципальным имуществом и земельными ресурсами администрации Няндомского муниципального округа Архангельской области: ОГРН 1022901415558, ИНН 2918001587, КПП 291801001, ОКТМО 11544000, ОКПО 31302249, адрес (место нахождения): 164200, Архангельская область, г. Няндома, ул.60 лет Октября, 13</w:t>
      </w:r>
      <w:r w:rsidRPr="0043250B">
        <w:rPr>
          <w:rFonts w:ascii="Times New Roman" w:eastAsia="Times New Roman" w:hAnsi="Times New Roman" w:cs="Times New Roman"/>
          <w:snapToGrid w:val="0"/>
          <w:color w:val="auto"/>
          <w:sz w:val="20"/>
          <w:szCs w:val="20"/>
          <w:lang w:bidi="ar-SA"/>
        </w:rPr>
        <w:t xml:space="preserve">.                                                                                                                                                                                  </w:t>
      </w:r>
    </w:p>
    <w:p w14:paraId="707E25E2" w14:textId="74DFE716" w:rsidR="0043250B" w:rsidRPr="0043250B" w:rsidRDefault="0043250B" w:rsidP="0043250B">
      <w:pPr>
        <w:widowControl/>
        <w:spacing w:before="24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bidi="ar-SA"/>
        </w:rPr>
        <w:t>Ссудополучатель:</w:t>
      </w:r>
      <w:r w:rsidRPr="0043250B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 xml:space="preserve"> </w:t>
      </w:r>
      <w:r w:rsidR="00600AB9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_______________________</w:t>
      </w:r>
      <w:r w:rsidRPr="0043250B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.</w:t>
      </w:r>
    </w:p>
    <w:p w14:paraId="328047F6" w14:textId="77777777" w:rsidR="0043250B" w:rsidRPr="0043250B" w:rsidRDefault="0043250B" w:rsidP="0043250B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43250B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9. Подписи Сторон</w:t>
      </w:r>
    </w:p>
    <w:p w14:paraId="651F62AD" w14:textId="77777777" w:rsidR="00DF1DAB" w:rsidRPr="00BC1CFE" w:rsidRDefault="00DF1DAB" w:rsidP="00BC1CFE">
      <w:pPr>
        <w:pStyle w:val="1"/>
        <w:spacing w:before="240" w:after="600"/>
        <w:ind w:firstLine="0"/>
        <w:jc w:val="center"/>
        <w:rPr>
          <w:sz w:val="24"/>
          <w:szCs w:val="24"/>
        </w:rPr>
      </w:pPr>
    </w:p>
    <w:p w14:paraId="7B06CE5B" w14:textId="012DBD16" w:rsidR="000E2F5F" w:rsidRDefault="000E2F5F" w:rsidP="00444F90">
      <w:pPr>
        <w:pStyle w:val="1"/>
        <w:spacing w:after="300" w:line="254" w:lineRule="auto"/>
        <w:ind w:left="5620" w:firstLine="0"/>
        <w:jc w:val="right"/>
      </w:pPr>
    </w:p>
    <w:sectPr w:rsidR="000E2F5F" w:rsidSect="00821BD9">
      <w:headerReference w:type="default" r:id="rId7"/>
      <w:pgSz w:w="11900" w:h="16840"/>
      <w:pgMar w:top="567" w:right="567" w:bottom="567" w:left="1134" w:header="567" w:footer="709" w:gutter="0"/>
      <w:pgNumType w:start="6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D2C61" w14:textId="77777777" w:rsidR="0024655D" w:rsidRDefault="0024655D">
      <w:r>
        <w:separator/>
      </w:r>
    </w:p>
  </w:endnote>
  <w:endnote w:type="continuationSeparator" w:id="0">
    <w:p w14:paraId="367CB980" w14:textId="77777777" w:rsidR="0024655D" w:rsidRDefault="0024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485F4" w14:textId="77777777" w:rsidR="0024655D" w:rsidRDefault="0024655D">
      <w:r>
        <w:separator/>
      </w:r>
    </w:p>
  </w:footnote>
  <w:footnote w:type="continuationSeparator" w:id="0">
    <w:p w14:paraId="4CE633B3" w14:textId="77777777" w:rsidR="0024655D" w:rsidRDefault="00246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33961921"/>
      <w:docPartObj>
        <w:docPartGallery w:val="Page Numbers (Top of Page)"/>
        <w:docPartUnique/>
      </w:docPartObj>
    </w:sdtPr>
    <w:sdtEndPr/>
    <w:sdtContent>
      <w:p w14:paraId="52660BC6" w14:textId="07E5BC3D" w:rsidR="00D53788" w:rsidRDefault="00D53788">
        <w:pPr>
          <w:pStyle w:val="ae"/>
          <w:jc w:val="center"/>
        </w:pPr>
        <w:r w:rsidRPr="00D53788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D53788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D53788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D53788">
          <w:rPr>
            <w:rFonts w:ascii="Times New Roman" w:hAnsi="Times New Roman" w:cs="Times New Roman"/>
            <w:sz w:val="22"/>
            <w:szCs w:val="22"/>
          </w:rPr>
          <w:t>2</w:t>
        </w:r>
        <w:r w:rsidRPr="00D53788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2159E2F" w14:textId="210523A5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E0160E7"/>
    <w:multiLevelType w:val="hybridMultilevel"/>
    <w:tmpl w:val="0096D8C4"/>
    <w:lvl w:ilvl="0" w:tplc="2512824C">
      <w:start w:val="1"/>
      <w:numFmt w:val="decimal"/>
      <w:suff w:val="space"/>
      <w:lvlText w:val="1.%1."/>
      <w:lvlJc w:val="left"/>
      <w:pPr>
        <w:ind w:left="362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4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33034"/>
    <w:multiLevelType w:val="hybridMultilevel"/>
    <w:tmpl w:val="F5A4484C"/>
    <w:lvl w:ilvl="0" w:tplc="8E40A422">
      <w:start w:val="1"/>
      <w:numFmt w:val="decimal"/>
      <w:suff w:val="space"/>
      <w:lvlText w:val="3.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1487C29"/>
    <w:multiLevelType w:val="hybridMultilevel"/>
    <w:tmpl w:val="1F067A24"/>
    <w:lvl w:ilvl="0" w:tplc="A5AC6814">
      <w:start w:val="1"/>
      <w:numFmt w:val="decimal"/>
      <w:suff w:val="space"/>
      <w:lvlText w:val="4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378586A"/>
    <w:multiLevelType w:val="hybridMultilevel"/>
    <w:tmpl w:val="866A00EE"/>
    <w:lvl w:ilvl="0" w:tplc="4E6296F4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AAB12C8"/>
    <w:multiLevelType w:val="multilevel"/>
    <w:tmpl w:val="6524B3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1B76B50"/>
    <w:multiLevelType w:val="hybridMultilevel"/>
    <w:tmpl w:val="C81EC6AA"/>
    <w:lvl w:ilvl="0" w:tplc="53B819F2">
      <w:start w:val="1"/>
      <w:numFmt w:val="decimal"/>
      <w:suff w:val="space"/>
      <w:lvlText w:val="3.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5066B63"/>
    <w:multiLevelType w:val="hybridMultilevel"/>
    <w:tmpl w:val="BA862366"/>
    <w:lvl w:ilvl="0" w:tplc="3E2ECCD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5546C1"/>
    <w:multiLevelType w:val="hybridMultilevel"/>
    <w:tmpl w:val="76AC0256"/>
    <w:lvl w:ilvl="0" w:tplc="59D011A6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FA403ED"/>
    <w:multiLevelType w:val="hybridMultilevel"/>
    <w:tmpl w:val="2A66E6C8"/>
    <w:lvl w:ilvl="0" w:tplc="02387D4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BA618FB"/>
    <w:multiLevelType w:val="hybridMultilevel"/>
    <w:tmpl w:val="628ABF9A"/>
    <w:lvl w:ilvl="0" w:tplc="B642742E">
      <w:start w:val="1"/>
      <w:numFmt w:val="decimal"/>
      <w:suff w:val="space"/>
      <w:lvlText w:val="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D157D1F"/>
    <w:multiLevelType w:val="hybridMultilevel"/>
    <w:tmpl w:val="9796BC36"/>
    <w:lvl w:ilvl="0" w:tplc="D4647F28">
      <w:start w:val="1"/>
      <w:numFmt w:val="decimal"/>
      <w:suff w:val="space"/>
      <w:lvlText w:val="3.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7"/>
  </w:num>
  <w:num w:numId="2">
    <w:abstractNumId w:val="67"/>
  </w:num>
  <w:num w:numId="3">
    <w:abstractNumId w:val="65"/>
  </w:num>
  <w:num w:numId="4">
    <w:abstractNumId w:val="32"/>
  </w:num>
  <w:num w:numId="5">
    <w:abstractNumId w:val="12"/>
  </w:num>
  <w:num w:numId="6">
    <w:abstractNumId w:val="9"/>
  </w:num>
  <w:num w:numId="7">
    <w:abstractNumId w:val="76"/>
  </w:num>
  <w:num w:numId="8">
    <w:abstractNumId w:val="47"/>
  </w:num>
  <w:num w:numId="9">
    <w:abstractNumId w:val="53"/>
  </w:num>
  <w:num w:numId="10">
    <w:abstractNumId w:val="64"/>
  </w:num>
  <w:num w:numId="11">
    <w:abstractNumId w:val="0"/>
  </w:num>
  <w:num w:numId="12">
    <w:abstractNumId w:val="6"/>
  </w:num>
  <w:num w:numId="13">
    <w:abstractNumId w:val="89"/>
  </w:num>
  <w:num w:numId="14">
    <w:abstractNumId w:val="62"/>
  </w:num>
  <w:num w:numId="15">
    <w:abstractNumId w:val="58"/>
  </w:num>
  <w:num w:numId="16">
    <w:abstractNumId w:val="41"/>
  </w:num>
  <w:num w:numId="17">
    <w:abstractNumId w:val="88"/>
  </w:num>
  <w:num w:numId="18">
    <w:abstractNumId w:val="28"/>
  </w:num>
  <w:num w:numId="19">
    <w:abstractNumId w:val="85"/>
  </w:num>
  <w:num w:numId="20">
    <w:abstractNumId w:val="73"/>
  </w:num>
  <w:num w:numId="21">
    <w:abstractNumId w:val="37"/>
  </w:num>
  <w:num w:numId="22">
    <w:abstractNumId w:val="82"/>
  </w:num>
  <w:num w:numId="23">
    <w:abstractNumId w:val="90"/>
  </w:num>
  <w:num w:numId="24">
    <w:abstractNumId w:val="23"/>
  </w:num>
  <w:num w:numId="25">
    <w:abstractNumId w:val="51"/>
  </w:num>
  <w:num w:numId="26">
    <w:abstractNumId w:val="91"/>
  </w:num>
  <w:num w:numId="27">
    <w:abstractNumId w:val="26"/>
  </w:num>
  <w:num w:numId="28">
    <w:abstractNumId w:val="55"/>
  </w:num>
  <w:num w:numId="29">
    <w:abstractNumId w:val="40"/>
  </w:num>
  <w:num w:numId="30">
    <w:abstractNumId w:val="96"/>
  </w:num>
  <w:num w:numId="31">
    <w:abstractNumId w:val="54"/>
  </w:num>
  <w:num w:numId="32">
    <w:abstractNumId w:val="84"/>
  </w:num>
  <w:num w:numId="33">
    <w:abstractNumId w:val="43"/>
  </w:num>
  <w:num w:numId="34">
    <w:abstractNumId w:val="78"/>
  </w:num>
  <w:num w:numId="35">
    <w:abstractNumId w:val="81"/>
  </w:num>
  <w:num w:numId="36">
    <w:abstractNumId w:val="11"/>
  </w:num>
  <w:num w:numId="37">
    <w:abstractNumId w:val="31"/>
  </w:num>
  <w:num w:numId="38">
    <w:abstractNumId w:val="75"/>
  </w:num>
  <w:num w:numId="39">
    <w:abstractNumId w:val="60"/>
  </w:num>
  <w:num w:numId="40">
    <w:abstractNumId w:val="95"/>
  </w:num>
  <w:num w:numId="41">
    <w:abstractNumId w:val="19"/>
  </w:num>
  <w:num w:numId="42">
    <w:abstractNumId w:val="34"/>
  </w:num>
  <w:num w:numId="43">
    <w:abstractNumId w:val="68"/>
  </w:num>
  <w:num w:numId="44">
    <w:abstractNumId w:val="2"/>
  </w:num>
  <w:num w:numId="45">
    <w:abstractNumId w:val="79"/>
  </w:num>
  <w:num w:numId="46">
    <w:abstractNumId w:val="50"/>
  </w:num>
  <w:num w:numId="47">
    <w:abstractNumId w:val="61"/>
  </w:num>
  <w:num w:numId="48">
    <w:abstractNumId w:val="4"/>
  </w:num>
  <w:num w:numId="49">
    <w:abstractNumId w:val="14"/>
  </w:num>
  <w:num w:numId="50">
    <w:abstractNumId w:val="29"/>
  </w:num>
  <w:num w:numId="51">
    <w:abstractNumId w:val="21"/>
  </w:num>
  <w:num w:numId="52">
    <w:abstractNumId w:val="10"/>
  </w:num>
  <w:num w:numId="53">
    <w:abstractNumId w:val="8"/>
  </w:num>
  <w:num w:numId="54">
    <w:abstractNumId w:val="69"/>
  </w:num>
  <w:num w:numId="55">
    <w:abstractNumId w:val="72"/>
  </w:num>
  <w:num w:numId="56">
    <w:abstractNumId w:val="35"/>
  </w:num>
  <w:num w:numId="57">
    <w:abstractNumId w:val="22"/>
  </w:num>
  <w:num w:numId="58">
    <w:abstractNumId w:val="7"/>
  </w:num>
  <w:num w:numId="59">
    <w:abstractNumId w:val="71"/>
  </w:num>
  <w:num w:numId="60">
    <w:abstractNumId w:val="38"/>
  </w:num>
  <w:num w:numId="61">
    <w:abstractNumId w:val="3"/>
  </w:num>
  <w:num w:numId="62">
    <w:abstractNumId w:val="24"/>
  </w:num>
  <w:num w:numId="63">
    <w:abstractNumId w:val="94"/>
  </w:num>
  <w:num w:numId="64">
    <w:abstractNumId w:val="17"/>
  </w:num>
  <w:num w:numId="65">
    <w:abstractNumId w:val="42"/>
  </w:num>
  <w:num w:numId="66">
    <w:abstractNumId w:val="5"/>
  </w:num>
  <w:num w:numId="67">
    <w:abstractNumId w:val="18"/>
  </w:num>
  <w:num w:numId="68">
    <w:abstractNumId w:val="77"/>
  </w:num>
  <w:num w:numId="69">
    <w:abstractNumId w:val="25"/>
  </w:num>
  <w:num w:numId="70">
    <w:abstractNumId w:val="20"/>
  </w:num>
  <w:num w:numId="71">
    <w:abstractNumId w:val="57"/>
  </w:num>
  <w:num w:numId="72">
    <w:abstractNumId w:val="56"/>
  </w:num>
  <w:num w:numId="73">
    <w:abstractNumId w:val="74"/>
  </w:num>
  <w:num w:numId="74">
    <w:abstractNumId w:val="36"/>
  </w:num>
  <w:num w:numId="75">
    <w:abstractNumId w:val="92"/>
  </w:num>
  <w:num w:numId="76">
    <w:abstractNumId w:val="46"/>
  </w:num>
  <w:num w:numId="77">
    <w:abstractNumId w:val="66"/>
  </w:num>
  <w:num w:numId="78">
    <w:abstractNumId w:val="52"/>
  </w:num>
  <w:num w:numId="79">
    <w:abstractNumId w:val="44"/>
  </w:num>
  <w:num w:numId="80">
    <w:abstractNumId w:val="15"/>
  </w:num>
  <w:num w:numId="81">
    <w:abstractNumId w:val="80"/>
  </w:num>
  <w:num w:numId="82">
    <w:abstractNumId w:val="1"/>
  </w:num>
  <w:num w:numId="83">
    <w:abstractNumId w:val="33"/>
  </w:num>
  <w:num w:numId="84">
    <w:abstractNumId w:val="59"/>
  </w:num>
  <w:num w:numId="85">
    <w:abstractNumId w:val="39"/>
  </w:num>
  <w:num w:numId="86">
    <w:abstractNumId w:val="63"/>
  </w:num>
  <w:num w:numId="87">
    <w:abstractNumId w:val="93"/>
  </w:num>
  <w:num w:numId="88">
    <w:abstractNumId w:val="13"/>
  </w:num>
  <w:num w:numId="89">
    <w:abstractNumId w:val="49"/>
  </w:num>
  <w:num w:numId="90">
    <w:abstractNumId w:val="83"/>
  </w:num>
  <w:num w:numId="91">
    <w:abstractNumId w:val="45"/>
  </w:num>
  <w:num w:numId="92">
    <w:abstractNumId w:val="86"/>
  </w:num>
  <w:num w:numId="93">
    <w:abstractNumId w:val="16"/>
  </w:num>
  <w:num w:numId="94">
    <w:abstractNumId w:val="27"/>
  </w:num>
  <w:num w:numId="95">
    <w:abstractNumId w:val="70"/>
  </w:num>
  <w:num w:numId="96">
    <w:abstractNumId w:val="30"/>
  </w:num>
  <w:num w:numId="97">
    <w:abstractNumId w:val="4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E2F5F"/>
    <w:rsid w:val="00105A78"/>
    <w:rsid w:val="00215D62"/>
    <w:rsid w:val="0024655D"/>
    <w:rsid w:val="002614F2"/>
    <w:rsid w:val="002D3C35"/>
    <w:rsid w:val="002D5D70"/>
    <w:rsid w:val="00320A57"/>
    <w:rsid w:val="0043250B"/>
    <w:rsid w:val="00444F90"/>
    <w:rsid w:val="00600AB9"/>
    <w:rsid w:val="00821BD9"/>
    <w:rsid w:val="00995A94"/>
    <w:rsid w:val="00B64D2D"/>
    <w:rsid w:val="00BC1CFE"/>
    <w:rsid w:val="00D53788"/>
    <w:rsid w:val="00DF1DAB"/>
    <w:rsid w:val="00EB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C1325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44F90"/>
    <w:rPr>
      <w:color w:val="000000"/>
    </w:rPr>
  </w:style>
  <w:style w:type="paragraph" w:styleId="af0">
    <w:name w:val="footer"/>
    <w:basedOn w:val="a"/>
    <w:link w:val="af1"/>
    <w:uiPriority w:val="99"/>
    <w:unhideWhenUsed/>
    <w:rsid w:val="00444F9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44F90"/>
    <w:rPr>
      <w:color w:val="000000"/>
    </w:rPr>
  </w:style>
  <w:style w:type="table" w:styleId="af2">
    <w:name w:val="Table Grid"/>
    <w:basedOn w:val="a1"/>
    <w:uiPriority w:val="39"/>
    <w:rsid w:val="00EB1CE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rsid w:val="0043250B"/>
    <w:pPr>
      <w:widowControl/>
    </w:pPr>
    <w:rPr>
      <w:rFonts w:ascii="Times New Roman" w:eastAsia="Times New Roman" w:hAnsi="Times New Roman" w:cs="Times New Roman"/>
      <w:sz w:val="22"/>
      <w:szCs w:val="22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16</cp:revision>
  <cp:lastPrinted>2023-09-14T12:04:00Z</cp:lastPrinted>
  <dcterms:created xsi:type="dcterms:W3CDTF">2023-04-25T11:52:00Z</dcterms:created>
  <dcterms:modified xsi:type="dcterms:W3CDTF">2023-11-23T13:26:00Z</dcterms:modified>
</cp:coreProperties>
</file>